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巴青县</w:t>
      </w:r>
      <w:r>
        <w:rPr>
          <w:rFonts w:hint="eastAsia" w:ascii="方正小标宋简体" w:hAnsi="方正小标宋简体" w:eastAsia="方正小标宋简体" w:cs="方正小标宋简体"/>
          <w:sz w:val="44"/>
          <w:szCs w:val="44"/>
        </w:rPr>
        <w:t>人民政府关于公布实施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巴青县</w:t>
      </w:r>
      <w:r>
        <w:rPr>
          <w:rFonts w:hint="eastAsia" w:ascii="方正小标宋简体" w:hAnsi="方正小标宋简体" w:eastAsia="方正小标宋简体" w:cs="方正小标宋简体"/>
          <w:sz w:val="44"/>
          <w:szCs w:val="44"/>
        </w:rPr>
        <w:t>征</w:t>
      </w:r>
      <w:r>
        <w:rPr>
          <w:rFonts w:hint="eastAsia" w:ascii="方正小标宋简体" w:hAnsi="方正小标宋简体" w:eastAsia="方正小标宋简体" w:cs="方正小标宋简体"/>
          <w:sz w:val="44"/>
          <w:szCs w:val="44"/>
          <w:lang w:eastAsia="zh-CN"/>
        </w:rPr>
        <w:t>收农用</w:t>
      </w:r>
      <w:r>
        <w:rPr>
          <w:rFonts w:hint="eastAsia" w:ascii="方正小标宋简体" w:hAnsi="方正小标宋简体" w:eastAsia="方正小标宋简体" w:cs="方正小标宋简体"/>
          <w:sz w:val="44"/>
          <w:szCs w:val="44"/>
        </w:rPr>
        <w:t>地区片综合地价标准的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方正小标宋简体" w:hAnsi="方正小标宋简体" w:eastAsia="方正小标宋简体" w:cs="方正小标宋简体"/>
          <w:sz w:val="44"/>
          <w:szCs w:val="44"/>
        </w:rPr>
        <w:t>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各乡（镇）人民政府、县直相关单位：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2021年2月5日，自治区人民政府下达了《西藏自治区人民政府关于同意各地（市）征收农用地区片综合地价标准的批复》（藏政函〔2021〕9号），2月24日那曲市人民政府下达《那曲市人民政府关于公布实施那曲市征收农用地区片综合地价标准的通知》。根据文件要求，现就做好巴青县公布实施征收农用地区片综合地价标准有关事项通知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县政府和10个乡（镇）人民政府通过政府门户网站等平台，充分依靠乡镇人民政府、乡村振兴专干、驻村干部等力量及时公布</w:t>
      </w:r>
      <w:r>
        <w:rPr>
          <w:rFonts w:hint="eastAsia" w:ascii="仿宋_GB2312" w:hAnsi="仿宋_GB2312" w:eastAsia="仿宋_GB2312" w:cs="仿宋_GB2312"/>
          <w:color w:val="333333"/>
          <w:kern w:val="0"/>
          <w:sz w:val="32"/>
          <w:szCs w:val="32"/>
          <w:lang w:val="en-US" w:eastAsia="zh-CN"/>
        </w:rPr>
        <w:fldChar w:fldCharType="begin"/>
      </w:r>
      <w:r>
        <w:rPr>
          <w:rFonts w:hint="eastAsia" w:ascii="仿宋_GB2312" w:hAnsi="仿宋_GB2312" w:eastAsia="仿宋_GB2312" w:cs="仿宋_GB2312"/>
          <w:color w:val="333333"/>
          <w:kern w:val="0"/>
          <w:sz w:val="32"/>
          <w:szCs w:val="32"/>
          <w:lang w:val="en-US" w:eastAsia="zh-CN"/>
        </w:rPr>
        <w:instrText xml:space="preserve"> HYPERLINK "http://www.qinzhou.gov.cn/zcwj_246/bjzfwj/qzf/202004/W020200509353029129753.pdf" </w:instrText>
      </w:r>
      <w:r>
        <w:rPr>
          <w:rFonts w:hint="eastAsia" w:ascii="仿宋_GB2312" w:hAnsi="仿宋_GB2312" w:eastAsia="仿宋_GB2312" w:cs="仿宋_GB2312"/>
          <w:color w:val="333333"/>
          <w:kern w:val="0"/>
          <w:sz w:val="32"/>
          <w:szCs w:val="32"/>
          <w:lang w:val="en-US" w:eastAsia="zh-CN"/>
        </w:rPr>
        <w:fldChar w:fldCharType="separate"/>
      </w:r>
      <w:r>
        <w:rPr>
          <w:rFonts w:hint="eastAsia" w:ascii="仿宋_GB2312" w:hAnsi="仿宋_GB2312" w:eastAsia="仿宋_GB2312" w:cs="仿宋_GB2312"/>
          <w:color w:val="333333"/>
          <w:kern w:val="0"/>
          <w:sz w:val="32"/>
          <w:szCs w:val="32"/>
          <w:lang w:val="en-US" w:eastAsia="zh-CN"/>
        </w:rPr>
        <w:t>巴青县征收农用地区片综合地价标准</w:t>
      </w:r>
      <w:r>
        <w:rPr>
          <w:rFonts w:hint="eastAsia" w:ascii="仿宋_GB2312" w:hAnsi="仿宋_GB2312" w:eastAsia="仿宋_GB2312" w:cs="仿宋_GB2312"/>
          <w:color w:val="333333"/>
          <w:kern w:val="0"/>
          <w:sz w:val="32"/>
          <w:szCs w:val="32"/>
          <w:lang w:val="en-US" w:eastAsia="zh-CN"/>
        </w:rPr>
        <w:fldChar w:fldCharType="end"/>
      </w:r>
      <w:r>
        <w:rPr>
          <w:rFonts w:hint="eastAsia" w:ascii="仿宋_GB2312" w:hAnsi="仿宋_GB2312" w:eastAsia="仿宋_GB2312" w:cs="仿宋_GB2312"/>
          <w:color w:val="333333"/>
          <w:kern w:val="0"/>
          <w:sz w:val="32"/>
          <w:szCs w:val="32"/>
          <w:lang w:val="en-US" w:eastAsia="zh-CN"/>
        </w:rPr>
        <w:t>（审定稿）。公布内容应包括区片综合地价标准、土地补偿费和安置补助费比例、实施时间、新旧征地补偿标准衔接措施等。征收农用地区片综合地价要依法每3年调整或重新公布一次。</w:t>
      </w:r>
    </w:p>
    <w:p>
      <w:pPr>
        <w:keepNext w:val="0"/>
        <w:keepLines w:val="0"/>
        <w:pageBreakBefore w:val="0"/>
        <w:widowControl/>
        <w:shd w:val="clear" w:color="auto" w:fill="FFFFFF"/>
        <w:kinsoku/>
        <w:wordWrap/>
        <w:overflowPunct/>
        <w:topLinePunct w:val="0"/>
        <w:autoSpaceDE/>
        <w:autoSpaceDN/>
        <w:bidi w:val="0"/>
        <w:adjustRightInd/>
        <w:snapToGrid/>
        <w:spacing w:after="150"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二、征收农用地区片综合地价由土地补偿费和安置补助费组成，不包括被征地农牧民社会保障费用、农村村民住宅、其他地上附着物和青苗等补偿费用。被征地农牧民养老保险参保补贴等按照《西藏自治区被征地农牧民参加基本养老保险暂行办法》（藏人社发</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2017</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104号）等文件规定执行。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560" w:lineRule="exact"/>
        <w:ind w:firstLine="640" w:firstLineChars="200"/>
        <w:jc w:val="lef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三、征收农用地地区片综合地价标准自2020年1月1日起实施。</w:t>
      </w:r>
      <w:r>
        <w:rPr>
          <w:rFonts w:hint="eastAsia" w:ascii="仿宋_GB2312" w:hAnsi="仿宋_GB2312" w:eastAsia="仿宋_GB2312" w:cs="仿宋_GB2312"/>
          <w:color w:val="333333"/>
          <w:kern w:val="0"/>
          <w:sz w:val="32"/>
          <w:szCs w:val="32"/>
          <w:lang w:eastAsia="zh-CN"/>
        </w:rPr>
        <w:t>在</w:t>
      </w:r>
      <w:r>
        <w:rPr>
          <w:rFonts w:hint="eastAsia" w:ascii="仿宋_GB2312" w:hAnsi="仿宋_GB2312" w:eastAsia="仿宋_GB2312" w:cs="仿宋_GB2312"/>
          <w:color w:val="333333"/>
          <w:kern w:val="0"/>
          <w:sz w:val="32"/>
          <w:szCs w:val="32"/>
          <w:lang w:val="en-US" w:eastAsia="zh-CN"/>
        </w:rPr>
        <w:t>2020年1月1日至本标准公布实施期间，国务院或自治区人民政府受理且批准的土地征收，补偿标准按《西藏自治区实施&lt;中华人民共和国土地管理法&gt;办法》规定执行的，须按此次公布的征收农用地区片综合地价标准及时补齐差价。大中型水利水电工程建设征收土地的补偿标准按国务院有关规定执行。</w:t>
      </w:r>
    </w:p>
    <w:p>
      <w:pPr>
        <w:keepNext w:val="0"/>
        <w:keepLines w:val="0"/>
        <w:pageBreakBefore w:val="0"/>
        <w:widowControl/>
        <w:shd w:val="clear" w:color="auto" w:fill="FFFFFF"/>
        <w:kinsoku/>
        <w:wordWrap/>
        <w:overflowPunct/>
        <w:topLinePunct w:val="0"/>
        <w:autoSpaceDE/>
        <w:autoSpaceDN/>
        <w:bidi w:val="0"/>
        <w:adjustRightInd/>
        <w:snapToGrid/>
        <w:spacing w:after="150"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四、被征收土地上附着物及青苗等补偿标准由那曲市自然资源局牵头，各县（区）人民政府和自然资源局全程参与拟订，补偿标准于2021年4月底报市人民政府批准和自治区自然资源厅备案后执行（未公布实施新补偿标准之前按现行标准执行）。</w:t>
      </w:r>
    </w:p>
    <w:p>
      <w:pPr>
        <w:keepNext w:val="0"/>
        <w:keepLines w:val="0"/>
        <w:pageBreakBefore w:val="0"/>
        <w:widowControl/>
        <w:shd w:val="clear" w:color="auto" w:fill="FFFFFF"/>
        <w:kinsoku/>
        <w:wordWrap/>
        <w:overflowPunct/>
        <w:topLinePunct w:val="0"/>
        <w:autoSpaceDE/>
        <w:autoSpaceDN/>
        <w:bidi w:val="0"/>
        <w:adjustRightInd/>
        <w:snapToGrid/>
        <w:spacing w:after="150" w:line="56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五、</w:t>
      </w:r>
      <w:r>
        <w:rPr>
          <w:rFonts w:hint="eastAsia" w:ascii="仿宋_GB2312" w:hAnsi="仿宋_GB2312" w:eastAsia="仿宋_GB2312" w:cs="仿宋_GB2312"/>
          <w:color w:val="333333"/>
          <w:kern w:val="0"/>
          <w:sz w:val="32"/>
          <w:szCs w:val="32"/>
        </w:rPr>
        <w:t>各</w:t>
      </w:r>
      <w:r>
        <w:rPr>
          <w:rFonts w:hint="eastAsia" w:ascii="仿宋_GB2312" w:hAnsi="仿宋_GB2312" w:eastAsia="仿宋_GB2312" w:cs="仿宋_GB2312"/>
          <w:color w:val="333333"/>
          <w:kern w:val="0"/>
          <w:sz w:val="32"/>
          <w:szCs w:val="32"/>
          <w:lang w:eastAsia="zh-CN"/>
        </w:rPr>
        <w:t>乡</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镇</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各有关部门要高度重视征收农用地区片综合地价标准公布实施工作。乡（镇）人民政府要切实做好新旧征地补偿标准的衔接工作，加强政策宣传解释，建立纠纷处理与协调机制，妥善解决实施过程中的有关问题，确保新征地补偿标准顺利实施。</w:t>
      </w:r>
      <w:r>
        <w:rPr>
          <w:rFonts w:hint="eastAsia" w:ascii="仿宋_GB2312" w:hAnsi="仿宋_GB2312" w:eastAsia="仿宋_GB2312" w:cs="仿宋_GB2312"/>
          <w:color w:val="333333"/>
          <w:kern w:val="0"/>
          <w:sz w:val="32"/>
          <w:szCs w:val="32"/>
        </w:rPr>
        <w:t>对各</w:t>
      </w:r>
      <w:r>
        <w:rPr>
          <w:rFonts w:hint="eastAsia" w:ascii="仿宋_GB2312" w:hAnsi="仿宋_GB2312" w:eastAsia="仿宋_GB2312" w:cs="仿宋_GB2312"/>
          <w:color w:val="333333"/>
          <w:kern w:val="0"/>
          <w:sz w:val="32"/>
          <w:szCs w:val="32"/>
          <w:lang w:eastAsia="zh-CN"/>
        </w:rPr>
        <w:t>乡（镇）</w:t>
      </w:r>
      <w:r>
        <w:rPr>
          <w:rFonts w:hint="eastAsia" w:ascii="仿宋_GB2312" w:hAnsi="仿宋_GB2312" w:eastAsia="仿宋_GB2312" w:cs="仿宋_GB2312"/>
          <w:color w:val="333333"/>
          <w:kern w:val="0"/>
          <w:sz w:val="32"/>
          <w:szCs w:val="32"/>
        </w:rPr>
        <w:t>在征</w:t>
      </w:r>
      <w:r>
        <w:rPr>
          <w:rFonts w:hint="eastAsia" w:ascii="仿宋_GB2312" w:hAnsi="仿宋_GB2312" w:eastAsia="仿宋_GB2312" w:cs="仿宋_GB2312"/>
          <w:color w:val="333333"/>
          <w:kern w:val="0"/>
          <w:sz w:val="32"/>
          <w:szCs w:val="32"/>
          <w:lang w:eastAsia="zh-CN"/>
        </w:rPr>
        <w:t>收农用</w:t>
      </w:r>
      <w:r>
        <w:rPr>
          <w:rFonts w:hint="eastAsia" w:ascii="仿宋_GB2312" w:hAnsi="仿宋_GB2312" w:eastAsia="仿宋_GB2312" w:cs="仿宋_GB2312"/>
          <w:color w:val="333333"/>
          <w:kern w:val="0"/>
          <w:sz w:val="32"/>
          <w:szCs w:val="32"/>
        </w:rPr>
        <w:t>地区片综合地价实施过程中出现的重大情况和问题，要及时向</w:t>
      </w:r>
      <w:r>
        <w:rPr>
          <w:rFonts w:hint="eastAsia" w:ascii="仿宋_GB2312" w:hAnsi="仿宋_GB2312" w:eastAsia="仿宋_GB2312" w:cs="仿宋_GB2312"/>
          <w:color w:val="333333"/>
          <w:kern w:val="0"/>
          <w:sz w:val="32"/>
          <w:szCs w:val="32"/>
          <w:lang w:eastAsia="zh-CN"/>
        </w:rPr>
        <w:t>县</w:t>
      </w:r>
      <w:r>
        <w:rPr>
          <w:rFonts w:hint="eastAsia" w:ascii="仿宋_GB2312" w:hAnsi="仿宋_GB2312" w:eastAsia="仿宋_GB2312" w:cs="仿宋_GB2312"/>
          <w:color w:val="333333"/>
          <w:kern w:val="0"/>
          <w:sz w:val="32"/>
          <w:szCs w:val="32"/>
        </w:rPr>
        <w:t>人民政府报告。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after="150" w:line="560" w:lineRule="exact"/>
        <w:ind w:firstLine="640" w:firstLineChars="200"/>
        <w:jc w:val="left"/>
        <w:textAlignment w:val="auto"/>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"http://www.qinzhou.gov.cn/zcwj_246/bjzfwj/qzf/202004/W020200509353029129753.pdf"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color w:val="333333"/>
          <w:kern w:val="0"/>
          <w:sz w:val="32"/>
          <w:szCs w:val="32"/>
          <w:lang w:eastAsia="zh-CN"/>
        </w:rPr>
        <w:t>巴青县</w:t>
      </w:r>
      <w:r>
        <w:rPr>
          <w:rFonts w:hint="eastAsia" w:ascii="仿宋_GB2312" w:hAnsi="仿宋_GB2312" w:eastAsia="仿宋_GB2312" w:cs="仿宋_GB2312"/>
          <w:b/>
          <w:bCs/>
          <w:color w:val="333333"/>
          <w:kern w:val="0"/>
          <w:sz w:val="32"/>
          <w:szCs w:val="32"/>
        </w:rPr>
        <w:t>征</w:t>
      </w:r>
      <w:r>
        <w:rPr>
          <w:rFonts w:hint="eastAsia" w:ascii="仿宋_GB2312" w:hAnsi="仿宋_GB2312" w:eastAsia="仿宋_GB2312" w:cs="仿宋_GB2312"/>
          <w:b/>
          <w:bCs/>
          <w:color w:val="333333"/>
          <w:kern w:val="0"/>
          <w:sz w:val="32"/>
          <w:szCs w:val="32"/>
          <w:lang w:eastAsia="zh-CN"/>
        </w:rPr>
        <w:t>收农用</w:t>
      </w:r>
      <w:r>
        <w:rPr>
          <w:rFonts w:hint="eastAsia" w:ascii="仿宋_GB2312" w:hAnsi="仿宋_GB2312" w:eastAsia="仿宋_GB2312" w:cs="仿宋_GB2312"/>
          <w:b/>
          <w:bCs/>
          <w:color w:val="333333"/>
          <w:kern w:val="0"/>
          <w:sz w:val="32"/>
          <w:szCs w:val="32"/>
        </w:rPr>
        <w:t>地区片综合地价标准</w:t>
      </w:r>
      <w:r>
        <w:rPr>
          <w:rFonts w:hint="eastAsia" w:ascii="仿宋_GB2312" w:hAnsi="仿宋_GB2312" w:eastAsia="仿宋_GB2312" w:cs="仿宋_GB2312"/>
          <w:b/>
          <w:bCs/>
          <w:color w:val="333333"/>
          <w:kern w:val="0"/>
          <w:sz w:val="32"/>
          <w:szCs w:val="32"/>
        </w:rPr>
        <w:fldChar w:fldCharType="end"/>
      </w:r>
      <w:r>
        <w:rPr>
          <w:rFonts w:hint="eastAsia" w:ascii="仿宋_GB2312" w:hAnsi="仿宋_GB2312" w:eastAsia="仿宋_GB2312" w:cs="仿宋_GB2312"/>
          <w:b/>
          <w:bCs/>
          <w:color w:val="333333"/>
          <w:kern w:val="0"/>
          <w:sz w:val="32"/>
          <w:szCs w:val="32"/>
          <w:lang w:eastAsia="zh-CN"/>
        </w:rPr>
        <w:t>（审定稿）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lang w:eastAsia="zh-CN"/>
        </w:rPr>
        <w:t>巴青县</w:t>
      </w:r>
      <w:r>
        <w:rPr>
          <w:rFonts w:hint="eastAsia" w:ascii="仿宋_GB2312" w:hAnsi="仿宋_GB2312" w:eastAsia="仿宋_GB2312" w:cs="仿宋_GB2312"/>
          <w:color w:val="333333"/>
          <w:kern w:val="0"/>
          <w:sz w:val="32"/>
          <w:szCs w:val="32"/>
        </w:rPr>
        <w:t>人民政府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2021年2月</w:t>
      </w:r>
      <w:r>
        <w:rPr>
          <w:rFonts w:hint="eastAsia" w:ascii="仿宋_GB2312" w:hAnsi="仿宋_GB2312" w:eastAsia="仿宋_GB2312" w:cs="仿宋_GB2312"/>
          <w:color w:val="333333"/>
          <w:kern w:val="0"/>
          <w:sz w:val="32"/>
          <w:szCs w:val="32"/>
          <w:lang w:val="en-US" w:eastAsia="zh-CN"/>
        </w:rPr>
        <w:t>25</w:t>
      </w:r>
      <w:r>
        <w:rPr>
          <w:rFonts w:hint="eastAsia" w:ascii="仿宋_GB2312" w:hAnsi="仿宋_GB2312" w:eastAsia="仿宋_GB2312" w:cs="仿宋_GB2312"/>
          <w:color w:val="333333"/>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color w:val="333333"/>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pPr w:leftFromText="180" w:rightFromText="180" w:vertAnchor="text" w:horzAnchor="page" w:tblpX="1208" w:tblpY="6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910"/>
        <w:gridCol w:w="1133"/>
        <w:gridCol w:w="7218"/>
        <w:gridCol w:w="1459"/>
        <w:gridCol w:w="118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Arial"/>
                <w:color w:val="333333"/>
                <w:kern w:val="0"/>
                <w:sz w:val="24"/>
                <w:szCs w:val="24"/>
                <w:vertAlign w:val="baseline"/>
                <w:lang w:val="en-US" w:eastAsia="zh-CN"/>
              </w:rPr>
            </w:pPr>
            <w:r>
              <w:rPr>
                <w:rFonts w:hint="eastAsia" w:ascii="宋体" w:hAnsi="宋体" w:eastAsia="宋体" w:cs="Arial"/>
                <w:color w:val="333333"/>
                <w:kern w:val="0"/>
                <w:sz w:val="24"/>
                <w:szCs w:val="24"/>
                <w:vertAlign w:val="baseline"/>
                <w:lang w:eastAsia="zh-CN"/>
              </w:rPr>
              <w:t>县</w:t>
            </w:r>
            <w:r>
              <w:rPr>
                <w:rFonts w:hint="eastAsia" w:ascii="宋体" w:hAnsi="宋体" w:eastAsia="宋体" w:cs="Arial"/>
                <w:color w:val="333333"/>
                <w:kern w:val="0"/>
                <w:sz w:val="24"/>
                <w:szCs w:val="24"/>
                <w:vertAlign w:val="baseline"/>
                <w:lang w:val="en-US" w:eastAsia="zh-CN"/>
              </w:rPr>
              <w:t>(</w:t>
            </w:r>
            <w:r>
              <w:rPr>
                <w:rFonts w:hint="eastAsia" w:ascii="宋体" w:hAnsi="宋体" w:eastAsia="宋体" w:cs="Arial"/>
                <w:color w:val="333333"/>
                <w:kern w:val="0"/>
                <w:sz w:val="24"/>
                <w:szCs w:val="24"/>
                <w:vertAlign w:val="baseline"/>
                <w:lang w:eastAsia="zh-CN"/>
              </w:rPr>
              <w:t>区</w:t>
            </w:r>
            <w:r>
              <w:rPr>
                <w:rFonts w:hint="eastAsia" w:ascii="宋体" w:hAnsi="宋体" w:eastAsia="宋体" w:cs="Arial"/>
                <w:color w:val="333333"/>
                <w:kern w:val="0"/>
                <w:sz w:val="24"/>
                <w:szCs w:val="24"/>
                <w:vertAlign w:val="baseline"/>
                <w:lang w:val="en-US" w:eastAsia="zh-CN"/>
              </w:rPr>
              <w:t>)</w:t>
            </w:r>
          </w:p>
        </w:tc>
        <w:tc>
          <w:tcPr>
            <w:tcW w:w="910"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lang w:eastAsia="zh-CN"/>
              </w:rPr>
            </w:pPr>
            <w:r>
              <w:rPr>
                <w:rFonts w:hint="eastAsia" w:ascii="宋体" w:hAnsi="宋体" w:eastAsia="宋体" w:cs="Arial"/>
                <w:color w:val="333333"/>
                <w:kern w:val="0"/>
                <w:sz w:val="24"/>
                <w:szCs w:val="24"/>
                <w:vertAlign w:val="baseline"/>
                <w:lang w:eastAsia="zh-CN"/>
              </w:rPr>
              <w:t>区片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lang w:eastAsia="zh-CN"/>
              </w:rPr>
            </w:pPr>
            <w:r>
              <w:rPr>
                <w:rFonts w:hint="eastAsia" w:ascii="宋体" w:hAnsi="宋体" w:eastAsia="宋体" w:cs="Arial"/>
                <w:color w:val="333333"/>
                <w:kern w:val="0"/>
                <w:sz w:val="24"/>
                <w:szCs w:val="24"/>
                <w:vertAlign w:val="baseline"/>
                <w:lang w:eastAsia="zh-CN"/>
              </w:rPr>
              <w:t>级别</w:t>
            </w:r>
          </w:p>
        </w:tc>
        <w:tc>
          <w:tcPr>
            <w:tcW w:w="8351" w:type="dxa"/>
            <w:gridSpan w:val="2"/>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lang w:eastAsia="zh-CN"/>
              </w:rPr>
            </w:pPr>
            <w:r>
              <w:rPr>
                <w:rFonts w:hint="eastAsia" w:ascii="宋体" w:hAnsi="宋体" w:eastAsia="宋体" w:cs="Arial"/>
                <w:color w:val="333333"/>
                <w:kern w:val="0"/>
                <w:sz w:val="24"/>
                <w:szCs w:val="24"/>
                <w:vertAlign w:val="baseline"/>
                <w:lang w:eastAsia="zh-CN"/>
              </w:rPr>
              <w:t>区片范围</w:t>
            </w:r>
          </w:p>
        </w:tc>
        <w:tc>
          <w:tcPr>
            <w:tcW w:w="1459"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lang w:eastAsia="zh-CN"/>
              </w:rPr>
            </w:pPr>
            <w:r>
              <w:rPr>
                <w:rFonts w:hint="eastAsia" w:ascii="宋体" w:hAnsi="宋体" w:eastAsia="宋体" w:cs="Arial"/>
                <w:color w:val="333333"/>
                <w:kern w:val="0"/>
                <w:sz w:val="24"/>
                <w:szCs w:val="24"/>
                <w:vertAlign w:val="baseline"/>
                <w:lang w:eastAsia="zh-CN"/>
              </w:rPr>
              <w:t>区片综合地价（元</w:t>
            </w:r>
            <w:r>
              <w:rPr>
                <w:rFonts w:hint="eastAsia" w:ascii="宋体" w:hAnsi="宋体" w:eastAsia="宋体" w:cs="Arial"/>
                <w:color w:val="333333"/>
                <w:kern w:val="0"/>
                <w:sz w:val="24"/>
                <w:szCs w:val="24"/>
                <w:vertAlign w:val="baseline"/>
                <w:lang w:val="en-US" w:eastAsia="zh-CN"/>
              </w:rPr>
              <w:t>/亩</w:t>
            </w:r>
            <w:r>
              <w:rPr>
                <w:rFonts w:hint="eastAsia" w:ascii="宋体" w:hAnsi="宋体" w:eastAsia="宋体" w:cs="Arial"/>
                <w:color w:val="333333"/>
                <w:kern w:val="0"/>
                <w:sz w:val="24"/>
                <w:szCs w:val="24"/>
                <w:vertAlign w:val="baseline"/>
                <w:lang w:eastAsia="zh-CN"/>
              </w:rPr>
              <w:t>）</w:t>
            </w:r>
          </w:p>
        </w:tc>
        <w:tc>
          <w:tcPr>
            <w:tcW w:w="1184"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lang w:eastAsia="zh-CN"/>
              </w:rPr>
            </w:pPr>
            <w:r>
              <w:rPr>
                <w:rFonts w:hint="eastAsia" w:ascii="宋体" w:hAnsi="宋体" w:eastAsia="宋体" w:cs="Arial"/>
                <w:color w:val="333333"/>
                <w:kern w:val="0"/>
                <w:sz w:val="24"/>
                <w:szCs w:val="24"/>
                <w:vertAlign w:val="baseline"/>
                <w:lang w:eastAsia="zh-CN"/>
              </w:rPr>
              <w:t>土地补偿费比例</w:t>
            </w:r>
          </w:p>
        </w:tc>
        <w:tc>
          <w:tcPr>
            <w:tcW w:w="1299" w:type="dxa"/>
            <w:shd w:val="clear" w:color="auto" w:fill="CFCECE" w:themeFill="background2" w:themeFillShade="E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4"/>
                <w:szCs w:val="24"/>
                <w:vertAlign w:val="baseline"/>
              </w:rPr>
            </w:pPr>
            <w:r>
              <w:rPr>
                <w:rFonts w:hint="eastAsia" w:ascii="宋体" w:hAnsi="宋体" w:eastAsia="宋体" w:cs="Arial"/>
                <w:color w:val="333333"/>
                <w:kern w:val="0"/>
                <w:sz w:val="24"/>
                <w:szCs w:val="24"/>
                <w:vertAlign w:val="baseline"/>
                <w:lang w:eastAsia="zh-CN"/>
              </w:rPr>
              <w:t>安置补偿费比例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5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巴青县</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 w:val="21"/>
                <w:szCs w:val="21"/>
              </w:rPr>
              <w:t>Ⅰ</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拉西镇</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 w:val="21"/>
                <w:szCs w:val="21"/>
              </w:rPr>
              <w:t>热囊村、巴嘎囊村、玉宗根村、达热村、棍郭居委会、顿次卡村、江聂改村、珠确达村、贡加久村、察定康村、古庆达村、拉西塘村、古琼囊村、瓦琼村、勒直跟村、佐雪圭村、瓦庆村、古庆普村、察瑞格村、玛觉达村、勒玛唐村、夺布村、那布随村、隆用囊村、仲格村、扎勒卡村</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17221</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30%</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54"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Arial"/>
                <w:color w:val="333333"/>
                <w:kern w:val="0"/>
                <w:sz w:val="21"/>
                <w:szCs w:val="21"/>
                <w:vertAlign w:val="baseline"/>
              </w:rPr>
            </w:pPr>
          </w:p>
        </w:tc>
        <w:tc>
          <w:tcPr>
            <w:tcW w:w="91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 w:val="21"/>
                <w:szCs w:val="21"/>
              </w:rPr>
              <w:t>Ⅱ</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杂色镇</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 w:val="21"/>
                <w:szCs w:val="21"/>
              </w:rPr>
              <w:t>郭雄帕村、拉布阿塘村、拉普玛塘村、卡达会村、塔隆塘村、真达村、岗巴塘村、曲脏嘎村、格庆村、热惹塘村、拉隆达村、夺加村、改玛塘、杂德改村、底庆达村、底庆达村、梅帕塘村、莲乃塘村、吾松松多村、格加村、扎孔果村、查斯囊村、夺昌改村、堆姆达村、嘎隆达村、格如塘村、玛斯松多村、许秀达村</w:t>
            </w:r>
          </w:p>
        </w:tc>
        <w:tc>
          <w:tcPr>
            <w:tcW w:w="145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16226</w:t>
            </w:r>
          </w:p>
        </w:tc>
        <w:tc>
          <w:tcPr>
            <w:tcW w:w="118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30%</w:t>
            </w:r>
          </w:p>
        </w:tc>
        <w:tc>
          <w:tcPr>
            <w:tcW w:w="129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雅安镇</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约雄村、夏卓格村、雅安卡村、荣嘎村、琼仓纳村、格夏贡村、白曲卡村、昌玛卡村、普古格村、加古格村、那觉改村、杂木嘎村、帮琼囊村、央堆村、帮庆囊村、贡庆达村、恰沃卡村</w:t>
            </w:r>
          </w:p>
        </w:tc>
        <w:tc>
          <w:tcPr>
            <w:tcW w:w="145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184"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29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江绵乡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其木库村、门热达村、坡荣塘村、多崩塘村、贡钦村、古汝卡村、玛钦格村、帕布达村、门普地亚、玛尼央嘎村、夏汝卡多村、尼普庆村、索日亚那村、帕觉央日村、察曲松多村、桑雄底玛村</w:t>
            </w:r>
          </w:p>
        </w:tc>
        <w:tc>
          <w:tcPr>
            <w:tcW w:w="145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184"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29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玛如乡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热钦达村、曲仲村、隆庆村、帮玉囊村、多布囊村、查苏村、岗琼达村、杂钦达村、岗庆达村、杂钦普村、扎贡达村、杂如卡村、改迦卡村、格庆改村、坡钦村、扎若改村、格隆改村、曲古村</w:t>
            </w:r>
          </w:p>
        </w:tc>
        <w:tc>
          <w:tcPr>
            <w:tcW w:w="145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184"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c>
          <w:tcPr>
            <w:tcW w:w="1299" w:type="dxa"/>
            <w:vMerge w:val="continue"/>
            <w:vAlign w:val="center"/>
          </w:tcPr>
          <w:p>
            <w:pPr>
              <w:widowControl/>
              <w:spacing w:line="360" w:lineRule="auto"/>
              <w:jc w:val="center"/>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阿秀乡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崩钦村、米次卡村、沃斯村、直汝村、索楚库村、多吉塘村、察荣塘村、白让塘村、达麦村、聂钦村、布通村</w:t>
            </w:r>
          </w:p>
        </w:tc>
        <w:tc>
          <w:tcPr>
            <w:tcW w:w="1459"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8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299" w:type="dxa"/>
            <w:vMerge w:val="continue"/>
          </w:tcPr>
          <w:p>
            <w:pPr>
              <w:widowControl/>
              <w:spacing w:line="360" w:lineRule="auto"/>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贡日乡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杂日尼瓦村、栋雄郭村、色雄改村、玛紫村、热赤雄村</w:t>
            </w:r>
          </w:p>
        </w:tc>
        <w:tc>
          <w:tcPr>
            <w:tcW w:w="1459"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8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299" w:type="dxa"/>
            <w:vMerge w:val="continue"/>
          </w:tcPr>
          <w:p>
            <w:pPr>
              <w:widowControl/>
              <w:spacing w:line="360" w:lineRule="auto"/>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岗切乡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切塘村、贡庆村、亭瓦达村、吉隆郭村、莎嘎库村、伦布雄村、格拉村、卡吉多松村、纳贡村、沃庆村、沃琼村、央培村、拉玛囊村、休秀贡玛村、拉迦村、德崩村</w:t>
            </w:r>
          </w:p>
        </w:tc>
        <w:tc>
          <w:tcPr>
            <w:tcW w:w="1459"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8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299" w:type="dxa"/>
            <w:vMerge w:val="continue"/>
          </w:tcPr>
          <w:p>
            <w:pPr>
              <w:widowControl/>
              <w:spacing w:line="360" w:lineRule="auto"/>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巴青乡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吉中卡村、达杂囊村、巴索过村、改恰卡村、秀直玛村、江亭贡村、杂隆塘村、曲丹卡村、尤庆村</w:t>
            </w:r>
          </w:p>
        </w:tc>
        <w:tc>
          <w:tcPr>
            <w:tcW w:w="1459"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8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299" w:type="dxa"/>
            <w:vMerge w:val="continue"/>
          </w:tcPr>
          <w:p>
            <w:pPr>
              <w:widowControl/>
              <w:spacing w:line="360" w:lineRule="auto"/>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5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910"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33" w:type="dxa"/>
            <w:vAlign w:val="center"/>
          </w:tcPr>
          <w:p>
            <w:pPr>
              <w:widowControl/>
              <w:spacing w:line="360" w:lineRule="auto"/>
              <w:jc w:val="center"/>
              <w:rPr>
                <w:rFonts w:hint="eastAsia" w:ascii="宋体" w:hAnsi="宋体" w:eastAsia="宋体" w:cs="Arial"/>
                <w:color w:val="333333"/>
                <w:kern w:val="0"/>
                <w:sz w:val="21"/>
                <w:szCs w:val="21"/>
                <w:vertAlign w:val="baseline"/>
                <w:lang w:eastAsia="zh-CN"/>
              </w:rPr>
            </w:pPr>
            <w:r>
              <w:rPr>
                <w:rFonts w:hint="eastAsia" w:ascii="宋体" w:hAnsi="宋体" w:eastAsia="宋体" w:cs="Arial"/>
                <w:color w:val="333333"/>
                <w:kern w:val="0"/>
                <w:sz w:val="21"/>
                <w:szCs w:val="21"/>
                <w:vertAlign w:val="baseline"/>
                <w:lang w:eastAsia="zh-CN"/>
              </w:rPr>
              <w:t>本塔乡</w:t>
            </w:r>
          </w:p>
        </w:tc>
        <w:tc>
          <w:tcPr>
            <w:tcW w:w="72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Arial"/>
                <w:color w:val="333333"/>
                <w:kern w:val="0"/>
                <w:sz w:val="21"/>
                <w:szCs w:val="21"/>
                <w:vertAlign w:val="baseline"/>
              </w:rPr>
            </w:pPr>
            <w:r>
              <w:rPr>
                <w:rFonts w:hint="eastAsia" w:ascii="宋体" w:hAnsi="宋体" w:eastAsia="宋体" w:cs="Times New Roman"/>
                <w:szCs w:val="21"/>
              </w:rPr>
              <w:t>米相松多村、玛琼村、擦岗卡村、改莫达村、其康瓦玛村、曲仲村、曲格囊村、改莫囊村、廷莫村、色木村</w:t>
            </w:r>
          </w:p>
        </w:tc>
        <w:tc>
          <w:tcPr>
            <w:tcW w:w="1459"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184" w:type="dxa"/>
            <w:vMerge w:val="continue"/>
          </w:tcPr>
          <w:p>
            <w:pPr>
              <w:widowControl/>
              <w:spacing w:line="360" w:lineRule="auto"/>
              <w:rPr>
                <w:rFonts w:hint="eastAsia" w:ascii="宋体" w:hAnsi="宋体" w:eastAsia="宋体" w:cs="Arial"/>
                <w:color w:val="333333"/>
                <w:kern w:val="0"/>
                <w:sz w:val="21"/>
                <w:szCs w:val="21"/>
                <w:vertAlign w:val="baseline"/>
              </w:rPr>
            </w:pPr>
          </w:p>
        </w:tc>
        <w:tc>
          <w:tcPr>
            <w:tcW w:w="1299" w:type="dxa"/>
            <w:vMerge w:val="continue"/>
          </w:tcPr>
          <w:p>
            <w:pPr>
              <w:widowControl/>
              <w:spacing w:line="360" w:lineRule="auto"/>
              <w:rPr>
                <w:rFonts w:hint="eastAsia" w:ascii="宋体" w:hAnsi="宋体" w:eastAsia="宋体" w:cs="Arial"/>
                <w:color w:val="333333"/>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257" w:type="dxa"/>
            <w:gridSpan w:val="7"/>
            <w:tcBorders>
              <w:left w:val="nil"/>
              <w:bottom w:val="nil"/>
              <w:right w:val="nil"/>
            </w:tcBorders>
          </w:tcPr>
          <w:p>
            <w:pPr>
              <w:widowControl/>
              <w:shd w:val="clear" w:color="auto" w:fill="FFFFFF"/>
              <w:spacing w:line="360" w:lineRule="auto"/>
              <w:rPr>
                <w:rFonts w:hint="eastAsia" w:ascii="宋体" w:hAnsi="宋体" w:eastAsia="宋体" w:cs="Arial"/>
                <w:color w:val="333333"/>
                <w:kern w:val="0"/>
                <w:sz w:val="21"/>
                <w:szCs w:val="21"/>
                <w:vertAlign w:val="baseline"/>
              </w:rPr>
            </w:pPr>
            <w:r>
              <w:rPr>
                <w:rFonts w:hint="eastAsia" w:ascii="宋体" w:hAnsi="宋体" w:eastAsia="宋体" w:cs="Arial"/>
                <w:color w:val="333333"/>
                <w:kern w:val="0"/>
                <w:sz w:val="24"/>
                <w:szCs w:val="24"/>
              </w:rPr>
              <w:t>备注：上表中各</w:t>
            </w:r>
            <w:r>
              <w:rPr>
                <w:rFonts w:hint="eastAsia" w:ascii="宋体" w:hAnsi="宋体" w:eastAsia="宋体" w:cs="Arial"/>
                <w:color w:val="333333"/>
                <w:kern w:val="0"/>
                <w:sz w:val="24"/>
                <w:szCs w:val="24"/>
                <w:lang w:eastAsia="zh-CN"/>
              </w:rPr>
              <w:t>乡</w:t>
            </w:r>
            <w:r>
              <w:rPr>
                <w:rFonts w:hint="eastAsia" w:ascii="宋体" w:hAnsi="宋体" w:eastAsia="宋体" w:cs="Arial"/>
                <w:color w:val="333333"/>
                <w:kern w:val="0"/>
                <w:sz w:val="24"/>
                <w:szCs w:val="24"/>
              </w:rPr>
              <w:t>（</w:t>
            </w:r>
            <w:r>
              <w:rPr>
                <w:rFonts w:hint="eastAsia" w:ascii="宋体" w:hAnsi="宋体" w:eastAsia="宋体" w:cs="Arial"/>
                <w:color w:val="333333"/>
                <w:kern w:val="0"/>
                <w:sz w:val="24"/>
                <w:szCs w:val="24"/>
                <w:lang w:eastAsia="zh-CN"/>
              </w:rPr>
              <w:t>镇</w:t>
            </w:r>
            <w:r>
              <w:rPr>
                <w:rFonts w:hint="eastAsia" w:ascii="宋体" w:hAnsi="宋体" w:eastAsia="宋体" w:cs="Arial"/>
                <w:color w:val="333333"/>
                <w:kern w:val="0"/>
                <w:sz w:val="24"/>
                <w:szCs w:val="24"/>
              </w:rPr>
              <w:t>）区片综合地价均为天然牧草地补偿标准，其他地类补偿标准根据设定的地类调节系数进行确定。</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333333"/>
          <w:kern w:val="0"/>
          <w:sz w:val="32"/>
          <w:szCs w:val="32"/>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_GB2312" w:hAnsi="仿宋_GB2312" w:eastAsia="仿宋_GB2312" w:cs="仿宋_GB2312"/>
          <w:b/>
          <w:bCs/>
          <w:color w:val="333333"/>
          <w:kern w:val="0"/>
          <w:sz w:val="32"/>
          <w:szCs w:val="32"/>
          <w:lang w:eastAsia="zh-CN"/>
        </w:rPr>
        <w:t>巴青县征收农用地区片综合地价标准（审定稿）</w:t>
      </w:r>
    </w:p>
    <w:p>
      <w:pPr>
        <w:widowControl/>
        <w:shd w:val="clear" w:color="auto" w:fill="FFFFFF"/>
        <w:spacing w:line="360" w:lineRule="auto"/>
        <w:rPr>
          <w:rFonts w:hint="eastAsia" w:ascii="宋体" w:hAnsi="宋体" w:eastAsia="宋体" w:cs="Arial"/>
          <w:color w:val="333333"/>
          <w:kern w:val="0"/>
          <w:sz w:val="24"/>
          <w:szCs w:val="24"/>
          <w:lang w:eastAsia="zh-CN"/>
        </w:rPr>
      </w:pPr>
      <w:bookmarkStart w:id="0" w:name="_GoBack"/>
      <w:r>
        <w:rPr>
          <w:rFonts w:hint="eastAsia" w:ascii="宋体" w:hAnsi="宋体" w:eastAsia="宋体" w:cs="Arial"/>
          <w:color w:val="333333"/>
          <w:kern w:val="0"/>
          <w:sz w:val="24"/>
          <w:szCs w:val="24"/>
          <w:lang w:eastAsia="zh-CN"/>
        </w:rPr>
        <w:drawing>
          <wp:inline distT="0" distB="0" distL="114300" distR="114300">
            <wp:extent cx="5614670" cy="6644640"/>
            <wp:effectExtent l="0" t="0" r="5080" b="3810"/>
            <wp:docPr id="1" name="图片 1" descr="6E002E70A7620607FAF9CDF06DD51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02E70A7620607FAF9CDF06DD5141D"/>
                    <pic:cNvPicPr>
                      <a:picLocks noChangeAspect="1"/>
                    </pic:cNvPicPr>
                  </pic:nvPicPr>
                  <pic:blipFill>
                    <a:blip r:embed="rId4"/>
                    <a:stretch>
                      <a:fillRect/>
                    </a:stretch>
                  </pic:blipFill>
                  <pic:spPr>
                    <a:xfrm>
                      <a:off x="0" y="0"/>
                      <a:ext cx="5614670" cy="6644640"/>
                    </a:xfrm>
                    <a:prstGeom prst="rect">
                      <a:avLst/>
                    </a:prstGeom>
                  </pic:spPr>
                </pic:pic>
              </a:graphicData>
            </a:graphic>
          </wp:inline>
        </w:drawing>
      </w:r>
      <w:bookmarkEnd w:id="0"/>
    </w:p>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A3160"/>
    <w:multiLevelType w:val="singleLevel"/>
    <w:tmpl w:val="521A31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84"/>
    <w:rsid w:val="0002208A"/>
    <w:rsid w:val="000B2B59"/>
    <w:rsid w:val="00346D8A"/>
    <w:rsid w:val="00357F84"/>
    <w:rsid w:val="003F46C4"/>
    <w:rsid w:val="00411101"/>
    <w:rsid w:val="004F2828"/>
    <w:rsid w:val="00610265"/>
    <w:rsid w:val="007E110A"/>
    <w:rsid w:val="00872934"/>
    <w:rsid w:val="00A52E49"/>
    <w:rsid w:val="00A53CE5"/>
    <w:rsid w:val="00A62CDB"/>
    <w:rsid w:val="00B35235"/>
    <w:rsid w:val="00D01C52"/>
    <w:rsid w:val="00D059AF"/>
    <w:rsid w:val="00D24D4C"/>
    <w:rsid w:val="00DB1EB7"/>
    <w:rsid w:val="00E65921"/>
    <w:rsid w:val="0222273A"/>
    <w:rsid w:val="03560F7C"/>
    <w:rsid w:val="04E93990"/>
    <w:rsid w:val="051D5F79"/>
    <w:rsid w:val="065E61FC"/>
    <w:rsid w:val="0B606183"/>
    <w:rsid w:val="0FEA6C01"/>
    <w:rsid w:val="147819AC"/>
    <w:rsid w:val="155E24F9"/>
    <w:rsid w:val="16977A95"/>
    <w:rsid w:val="173C7D6E"/>
    <w:rsid w:val="1A9F22E2"/>
    <w:rsid w:val="1BC450C6"/>
    <w:rsid w:val="1DA00EF5"/>
    <w:rsid w:val="1E3C288B"/>
    <w:rsid w:val="1EBB1AB4"/>
    <w:rsid w:val="26E11B2B"/>
    <w:rsid w:val="271038DB"/>
    <w:rsid w:val="27651129"/>
    <w:rsid w:val="2B647CA8"/>
    <w:rsid w:val="2CD84E6A"/>
    <w:rsid w:val="318E4249"/>
    <w:rsid w:val="31BD38A7"/>
    <w:rsid w:val="38A26905"/>
    <w:rsid w:val="38B90D7E"/>
    <w:rsid w:val="38D2619C"/>
    <w:rsid w:val="38F50FAB"/>
    <w:rsid w:val="3A2811F4"/>
    <w:rsid w:val="3B222C0A"/>
    <w:rsid w:val="3C707D9F"/>
    <w:rsid w:val="3E422CA1"/>
    <w:rsid w:val="3F9D3C12"/>
    <w:rsid w:val="42835221"/>
    <w:rsid w:val="44FB6DC6"/>
    <w:rsid w:val="451C412D"/>
    <w:rsid w:val="45C96E9F"/>
    <w:rsid w:val="461A1252"/>
    <w:rsid w:val="491B052B"/>
    <w:rsid w:val="4A9F1BD9"/>
    <w:rsid w:val="4B6B7590"/>
    <w:rsid w:val="4C436550"/>
    <w:rsid w:val="4C75369E"/>
    <w:rsid w:val="4D180212"/>
    <w:rsid w:val="4DC530C7"/>
    <w:rsid w:val="4EA42615"/>
    <w:rsid w:val="506F5739"/>
    <w:rsid w:val="54A72ABD"/>
    <w:rsid w:val="58E51FA8"/>
    <w:rsid w:val="595F49AC"/>
    <w:rsid w:val="5ADD0EE5"/>
    <w:rsid w:val="5C2624AE"/>
    <w:rsid w:val="5C4C11DA"/>
    <w:rsid w:val="5C6B7286"/>
    <w:rsid w:val="62723FFB"/>
    <w:rsid w:val="640D4033"/>
    <w:rsid w:val="67DD696E"/>
    <w:rsid w:val="694855BC"/>
    <w:rsid w:val="69F41F75"/>
    <w:rsid w:val="709004E7"/>
    <w:rsid w:val="786E16DF"/>
    <w:rsid w:val="78BE0950"/>
    <w:rsid w:val="78C837A2"/>
    <w:rsid w:val="7B467B28"/>
    <w:rsid w:val="7C182899"/>
    <w:rsid w:val="7C631D40"/>
    <w:rsid w:val="7DC8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after="150"/>
      <w:jc w:val="left"/>
    </w:pPr>
    <w:rPr>
      <w:rFonts w:ascii="宋体" w:hAnsi="宋体" w:eastAsia="宋体" w:cs="宋体"/>
      <w:kern w:val="0"/>
      <w:sz w:val="24"/>
      <w:szCs w:val="24"/>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545454"/>
      <w:u w:val="none"/>
      <w:shd w:val="clear" w:color="auto" w:fill="auto"/>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1182</Words>
  <Characters>6744</Characters>
  <Lines>56</Lines>
  <Paragraphs>15</Paragraphs>
  <TotalTime>0</TotalTime>
  <ScaleCrop>false</ScaleCrop>
  <LinksUpToDate>false</LinksUpToDate>
  <CharactersWithSpaces>7911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2021-02-22T12:00:00Z</dcterms:created>
  <dc:creator>jiang chuanbo</dc:creator>
  <cp:lastModifiedBy>Administrator</cp:lastModifiedBy>
  <cp:lastPrinted>2021-02-26T06:40:00Z</cp:lastPrinted>
  <dcterms:modified xsi:type="dcterms:W3CDTF">2021-02-27T13:32:50Z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