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仿宋" w:hAnsi="仿宋" w:eastAsia="仿宋" w:cs="宋体"/>
          <w:color w:val="000000"/>
          <w:kern w:val="0"/>
          <w:sz w:val="32"/>
          <w:szCs w:val="32"/>
          <w:lang w:eastAsia="zh-CN"/>
        </w:rPr>
        <w:t>2023</w:t>
      </w:r>
      <w:r>
        <w:rPr>
          <w:rFonts w:hint="eastAsia" w:ascii="仿宋" w:hAnsi="仿宋" w:eastAsia="仿宋" w:cs="宋体"/>
          <w:color w:val="000000"/>
          <w:kern w:val="0"/>
          <w:sz w:val="32"/>
          <w:szCs w:val="32"/>
        </w:rPr>
        <w:t>年部门预算信息公开模板</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巴青县行政审批和便民服务局</w:t>
      </w: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44"/>
          <w:szCs w:val="44"/>
        </w:rPr>
      </w:pPr>
      <w:r>
        <w:rPr>
          <w:rFonts w:hint="eastAsia" w:eastAsia="方正小标宋简体" w:cs="Times New Roman"/>
          <w:sz w:val="44"/>
          <w:szCs w:val="44"/>
          <w:lang w:eastAsia="zh-CN"/>
        </w:rPr>
        <w:t>2023</w:t>
      </w:r>
      <w:r>
        <w:rPr>
          <w:rFonts w:hint="eastAsia" w:ascii="方正小标宋简体" w:hAnsi="仿宋" w:eastAsia="方正小标宋简体"/>
          <w:sz w:val="44"/>
          <w:szCs w:val="44"/>
        </w:rPr>
        <w:t>年度部门预算</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jc w:val="center"/>
        <w:textAlignment w:val="auto"/>
        <w:rPr>
          <w:rFonts w:ascii="仿宋" w:hAnsi="仿宋" w:eastAsia="仿宋"/>
          <w:sz w:val="32"/>
          <w:szCs w:val="32"/>
        </w:rPr>
      </w:pPr>
      <w:r>
        <w:rPr>
          <w:rFonts w:hint="default" w:ascii="Times New Roman" w:hAnsi="Times New Roman" w:eastAsia="仿宋" w:cs="Times New Roman"/>
          <w:sz w:val="32"/>
          <w:szCs w:val="32"/>
          <w:lang w:val="en-US" w:eastAsia="zh-CN"/>
        </w:rPr>
        <w:t>202</w:t>
      </w:r>
      <w:r>
        <w:rPr>
          <w:rFonts w:hint="eastAsia" w:eastAsia="仿宋" w:cs="Times New Roman"/>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w:t>
      </w: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目  录</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巴青县行政审批和便民服务局</w:t>
      </w:r>
      <w:r>
        <w:rPr>
          <w:rFonts w:hint="eastAsia" w:ascii="方正小标宋简体" w:hAnsi="仿宋" w:eastAsia="方正小标宋简体"/>
          <w:sz w:val="32"/>
          <w:szCs w:val="32"/>
        </w:rPr>
        <w:t>概况</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kinsoku/>
        <w:wordWrap/>
        <w:overflowPunct/>
        <w:topLinePunct w:val="0"/>
        <w:bidi w:val="0"/>
        <w:snapToGrid/>
        <w:spacing w:line="576"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巴青县行政审批和便民服务局2023</w:t>
      </w:r>
      <w:r>
        <w:rPr>
          <w:rFonts w:hint="eastAsia" w:ascii="方正小标宋简体" w:hAnsi="仿宋" w:eastAsia="方正小标宋简体"/>
          <w:sz w:val="32"/>
          <w:szCs w:val="32"/>
        </w:rPr>
        <w:t>年度部门预算明细表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一、部门收支总体情况表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二、部门收入总体情况表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三、部门支出总体情况表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四、财政拨款收支总体情况表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五、一般公共预算支出情况表（按功能分类科目）</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七、一般公共预算“三公”经费支出情况表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八、政府性基金“三公”经费支出情况表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九、政府性基金预算支出情况表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十一、项目支出绩效表</w:t>
      </w:r>
    </w:p>
    <w:p>
      <w:pPr>
        <w:keepNext w:val="0"/>
        <w:keepLines w:val="0"/>
        <w:pageBreakBefore w:val="0"/>
        <w:kinsoku/>
        <w:wordWrap/>
        <w:overflowPunct/>
        <w:topLinePunct w:val="0"/>
        <w:bidi w:val="0"/>
        <w:snapToGrid/>
        <w:spacing w:line="576"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巴青县行政审批和便民服务局2023</w:t>
      </w:r>
      <w:r>
        <w:rPr>
          <w:rFonts w:hint="eastAsia" w:ascii="方正小标宋简体" w:hAnsi="仿宋" w:eastAsia="方正小标宋简体"/>
          <w:sz w:val="32"/>
          <w:szCs w:val="32"/>
        </w:rPr>
        <w:t>年度部门预算数据分析</w:t>
      </w:r>
    </w:p>
    <w:p>
      <w:pPr>
        <w:keepNext w:val="0"/>
        <w:keepLines w:val="0"/>
        <w:pageBreakBefore w:val="0"/>
        <w:kinsoku/>
        <w:wordWrap/>
        <w:overflowPunct/>
        <w:topLinePunct w:val="0"/>
        <w:bidi w:val="0"/>
        <w:snapToGrid/>
        <w:spacing w:line="576" w:lineRule="exact"/>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ascii="方正小标宋简体" w:hAnsi="仿宋" w:eastAsia="方正小标宋简体"/>
          <w:sz w:val="32"/>
          <w:szCs w:val="32"/>
        </w:rPr>
      </w:pPr>
    </w:p>
    <w:p>
      <w:pPr>
        <w:keepNext w:val="0"/>
        <w:keepLines w:val="0"/>
        <w:pageBreakBefore w:val="0"/>
        <w:kinsoku/>
        <w:wordWrap/>
        <w:overflowPunct/>
        <w:topLinePunct w:val="0"/>
        <w:autoSpaceDE/>
        <w:autoSpaceDN/>
        <w:bidi w:val="0"/>
        <w:adjustRightInd/>
        <w:snapToGrid/>
        <w:spacing w:beforeAutospacing="0" w:afterAutospacing="0"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巴青县行政审批和便民服务局</w:t>
      </w:r>
      <w:r>
        <w:rPr>
          <w:rFonts w:hint="eastAsia" w:ascii="方正小标宋简体" w:hAnsi="仿宋" w:eastAsia="方正小标宋简体"/>
          <w:sz w:val="32"/>
          <w:szCs w:val="32"/>
        </w:rPr>
        <w:t>概况</w:t>
      </w: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一、主要职能</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ascii="楷体" w:hAnsi="楷体" w:eastAsia="楷体" w:cs="Arial"/>
          <w:color w:val="333333"/>
          <w:sz w:val="32"/>
        </w:rPr>
      </w:pPr>
      <w:r>
        <w:rPr>
          <w:rFonts w:hint="eastAsia" w:ascii="楷体" w:hAnsi="楷体" w:eastAsia="楷体" w:cs="Arial"/>
          <w:bCs/>
          <w:color w:val="333333"/>
          <w:sz w:val="32"/>
        </w:rPr>
        <w:t>（一）部门职责</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 w:hAnsi="仿宋" w:eastAsia="仿宋" w:cs="Arial"/>
          <w:color w:val="000000"/>
          <w:sz w:val="32"/>
        </w:rPr>
      </w:pPr>
      <w:r>
        <w:rPr>
          <w:rFonts w:hint="eastAsia" w:ascii="仿宋" w:hAnsi="仿宋" w:eastAsia="仿宋" w:cs="Arial"/>
          <w:color w:val="000000"/>
          <w:sz w:val="32"/>
        </w:rPr>
        <w:t xml:space="preserve">主要职能：贯彻落实国务院、自治区政府和市政府、县政府有关行政审批制度改革、政务服务、公共资源交易等有关放管服工作及建设服务型政府工作方面的方针政策、法律法规和决策部署；负责全县政务服务的综合协调工作，探索行政审批制度改革；参与拟订全县行政审批制度改革方面的政策、制度和规划并组织实施。 </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 w:hAnsi="仿宋" w:eastAsia="仿宋" w:cs="Arial"/>
          <w:color w:val="000000"/>
          <w:sz w:val="32"/>
        </w:rPr>
      </w:pPr>
      <w:r>
        <w:rPr>
          <w:rFonts w:hint="eastAsia" w:ascii="楷体" w:hAnsi="楷体" w:eastAsia="楷体" w:cs="Arial"/>
          <w:bCs/>
          <w:color w:val="333333"/>
          <w:sz w:val="32"/>
        </w:rPr>
        <w:t>（二）机构设置</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ascii="仿宋" w:hAnsi="仿宋" w:eastAsia="仿宋"/>
          <w:sz w:val="32"/>
          <w:szCs w:val="32"/>
        </w:rPr>
      </w:pPr>
      <w:r>
        <w:rPr>
          <w:rFonts w:hint="eastAsia" w:ascii="仿宋" w:hAnsi="仿宋" w:eastAsia="仿宋" w:cs="Arial"/>
          <w:color w:val="000000"/>
          <w:sz w:val="32"/>
        </w:rPr>
        <w:t>县行政审批和便民服务局机关行政编制3名，领导职数3名（正科级1名，副科级2名）。县行政审批和便民服务局其他所属事业单位的设置、职责和编制事项另行规定。</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二、部门预算单位构成</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Arial"/>
          <w:color w:val="000000"/>
          <w:sz w:val="32"/>
        </w:rPr>
      </w:pPr>
      <w:r>
        <w:rPr>
          <w:rFonts w:hint="eastAsia" w:ascii="仿宋" w:hAnsi="仿宋" w:eastAsia="仿宋" w:cs="Arial"/>
          <w:color w:val="000000"/>
          <w:sz w:val="32"/>
        </w:rPr>
        <w:t>巴青县行政审批局纳入本部门预算汇编范围的独立核算单位共1个。</w:t>
      </w: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Arial"/>
          <w:color w:val="000000"/>
          <w:sz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Arial"/>
          <w:color w:val="000000"/>
          <w:sz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Arial"/>
          <w:color w:val="000000"/>
          <w:sz w:val="32"/>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Arial"/>
          <w:color w:val="000000"/>
          <w:sz w:val="32"/>
        </w:rPr>
      </w:pPr>
    </w:p>
    <w:p>
      <w:pPr>
        <w:keepNext w:val="0"/>
        <w:keepLines w:val="0"/>
        <w:pageBreakBefore w:val="0"/>
        <w:kinsoku/>
        <w:wordWrap/>
        <w:overflowPunct/>
        <w:topLinePunct w:val="0"/>
        <w:autoSpaceDE/>
        <w:autoSpaceDN/>
        <w:bidi w:val="0"/>
        <w:adjustRightInd/>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lang w:eastAsia="zh-CN"/>
        </w:rPr>
        <w:t>巴青县行政审批和便民服务局2023</w:t>
      </w:r>
      <w:r>
        <w:rPr>
          <w:rFonts w:hint="eastAsia" w:ascii="方正小标宋简体" w:hAnsi="仿宋" w:eastAsia="方正小标宋简体"/>
          <w:sz w:val="32"/>
          <w:szCs w:val="32"/>
        </w:rPr>
        <w:t>年度预算明细表</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32"/>
          <w:szCs w:val="32"/>
        </w:rPr>
      </w:pPr>
      <w:r>
        <w:rPr>
          <w:rFonts w:hint="eastAsia" w:ascii="方正小标宋简体" w:hAnsi="仿宋" w:eastAsia="方正小标宋简体"/>
          <w:sz w:val="32"/>
          <w:szCs w:val="32"/>
        </w:rPr>
        <w:t>（表格详见附件）</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hint="eastAsia" w:ascii="方正小标宋简体" w:hAnsi="仿宋" w:eastAsia="方正小标宋简体"/>
          <w:sz w:val="32"/>
          <w:szCs w:val="32"/>
        </w:rPr>
      </w:pPr>
      <w:r>
        <w:rPr>
          <w:rFonts w:hint="eastAsia" w:ascii="方正小标宋简体" w:hAnsi="仿宋" w:eastAsia="方正小标宋简体"/>
          <w:sz w:val="32"/>
          <w:szCs w:val="32"/>
          <w:lang w:eastAsia="zh-CN"/>
        </w:rPr>
        <w:t>巴青县行政审批和便民服务局2023</w:t>
      </w:r>
      <w:r>
        <w:rPr>
          <w:rFonts w:hint="eastAsia" w:ascii="方正小标宋简体" w:hAnsi="仿宋" w:eastAsia="方正小标宋简体"/>
          <w:sz w:val="32"/>
          <w:szCs w:val="32"/>
        </w:rPr>
        <w:t>年度部门预算数据分析</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keepNext w:val="0"/>
        <w:keepLines w:val="0"/>
        <w:pageBreakBefore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hint="eastAsia" w:ascii="仿宋" w:hAnsi="仿宋" w:eastAsia="仿宋"/>
          <w:sz w:val="32"/>
          <w:szCs w:val="32"/>
          <w:u w:val="single"/>
        </w:rPr>
        <w:t>198.43</w:t>
      </w:r>
      <w:bookmarkStart w:id="0" w:name="_GoBack"/>
      <w:bookmarkEnd w:id="0"/>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198.43</w:t>
      </w:r>
      <w:r>
        <w:rPr>
          <w:rFonts w:hint="eastAsia" w:ascii="仿宋" w:hAnsi="仿宋" w:eastAsia="仿宋"/>
          <w:sz w:val="32"/>
          <w:szCs w:val="32"/>
          <w:lang w:val="en-US" w:eastAsia="zh-CN"/>
        </w:rPr>
        <w:t>万元</w:t>
      </w:r>
      <w:r>
        <w:rPr>
          <w:rFonts w:hint="eastAsia" w:ascii="仿宋" w:hAnsi="仿宋" w:eastAsia="仿宋"/>
          <w:sz w:val="32"/>
          <w:szCs w:val="32"/>
        </w:rPr>
        <w:t>；支出包括：一般公共服务支出</w:t>
      </w:r>
      <w:r>
        <w:rPr>
          <w:rFonts w:hint="eastAsia" w:ascii="仿宋" w:hAnsi="仿宋" w:eastAsia="仿宋"/>
          <w:color w:val="auto"/>
          <w:sz w:val="32"/>
          <w:szCs w:val="32"/>
          <w:u w:val="single"/>
        </w:rPr>
        <w:t>145.03</w:t>
      </w:r>
      <w:r>
        <w:rPr>
          <w:rFonts w:hint="eastAsia" w:ascii="仿宋" w:hAnsi="仿宋" w:eastAsia="仿宋"/>
          <w:sz w:val="32"/>
          <w:szCs w:val="32"/>
          <w:lang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rPr>
        <w:t>21.96</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u w:val="single"/>
        </w:rPr>
        <w:t>16.57</w:t>
      </w:r>
      <w:r>
        <w:rPr>
          <w:rFonts w:hint="eastAsia" w:ascii="仿宋" w:hAnsi="仿宋" w:eastAsia="仿宋"/>
          <w:sz w:val="32"/>
          <w:szCs w:val="32"/>
          <w:lang w:eastAsia="zh-CN"/>
        </w:rPr>
        <w:t>万元</w:t>
      </w:r>
      <w:r>
        <w:rPr>
          <w:rFonts w:hint="eastAsia" w:ascii="仿宋" w:hAnsi="仿宋" w:eastAsia="仿宋"/>
          <w:sz w:val="32"/>
          <w:szCs w:val="32"/>
        </w:rPr>
        <w:t>、住房保障支出</w:t>
      </w:r>
      <w:r>
        <w:rPr>
          <w:rFonts w:hint="eastAsia" w:ascii="仿宋" w:hAnsi="仿宋" w:eastAsia="仿宋"/>
          <w:sz w:val="32"/>
          <w:szCs w:val="32"/>
          <w:u w:val="single"/>
        </w:rPr>
        <w:t>14.87</w:t>
      </w:r>
      <w:r>
        <w:rPr>
          <w:rFonts w:hint="eastAsia" w:ascii="仿宋" w:hAnsi="仿宋" w:eastAsia="仿宋"/>
          <w:sz w:val="32"/>
          <w:szCs w:val="32"/>
          <w:lang w:eastAsia="zh-CN"/>
        </w:rPr>
        <w:t>万元</w:t>
      </w:r>
      <w:r>
        <w:rPr>
          <w:rFonts w:hint="eastAsia" w:ascii="仿宋" w:hAnsi="仿宋" w:eastAsia="仿宋"/>
          <w:sz w:val="32"/>
          <w:szCs w:val="32"/>
        </w:rPr>
        <w:t>。</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收入预算</w:t>
      </w:r>
      <w:r>
        <w:rPr>
          <w:rFonts w:hint="eastAsia" w:ascii="仿宋" w:hAnsi="仿宋" w:eastAsia="仿宋"/>
          <w:sz w:val="32"/>
          <w:szCs w:val="32"/>
          <w:u w:val="single"/>
        </w:rPr>
        <w:t>198.43</w:t>
      </w:r>
      <w:r>
        <w:rPr>
          <w:rFonts w:hint="eastAsia" w:ascii="仿宋" w:hAnsi="仿宋" w:eastAsia="仿宋"/>
          <w:sz w:val="32"/>
          <w:szCs w:val="32"/>
        </w:rPr>
        <w:t>万元，其中：一般公共预算拨款收入</w:t>
      </w:r>
      <w:r>
        <w:rPr>
          <w:rFonts w:hint="eastAsia" w:ascii="仿宋" w:hAnsi="仿宋" w:eastAsia="仿宋"/>
          <w:sz w:val="32"/>
          <w:szCs w:val="32"/>
          <w:u w:val="single"/>
        </w:rPr>
        <w:t>198.43</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2023</w:t>
      </w:r>
      <w:r>
        <w:rPr>
          <w:rFonts w:hint="eastAsia" w:ascii="仿宋" w:hAnsi="仿宋" w:eastAsia="仿宋"/>
          <w:sz w:val="32"/>
          <w:szCs w:val="32"/>
        </w:rPr>
        <w:t>年支出预算</w:t>
      </w:r>
      <w:r>
        <w:rPr>
          <w:rFonts w:hint="eastAsia" w:ascii="仿宋" w:hAnsi="仿宋" w:eastAsia="仿宋"/>
          <w:sz w:val="32"/>
          <w:szCs w:val="32"/>
          <w:u w:val="single"/>
        </w:rPr>
        <w:t>198.43</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198.43</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w:t>
      </w:r>
      <w:r>
        <w:rPr>
          <w:rFonts w:hint="eastAsia" w:ascii="仿宋" w:hAnsi="仿宋" w:eastAsia="仿宋"/>
          <w:sz w:val="32"/>
          <w:szCs w:val="32"/>
          <w:lang w:eastAsia="zh-CN"/>
        </w:rPr>
        <w:t>。</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w:t>
      </w:r>
      <w:r>
        <w:rPr>
          <w:rFonts w:hint="eastAsia" w:ascii="黑体" w:hAnsi="黑体" w:eastAsia="黑体"/>
          <w:sz w:val="32"/>
          <w:szCs w:val="32"/>
        </w:rPr>
        <w:t>年财政拨款收支总表的说明</w:t>
      </w:r>
    </w:p>
    <w:p>
      <w:pPr>
        <w:keepNext w:val="0"/>
        <w:keepLines w:val="0"/>
        <w:pageBreakBefore w:val="0"/>
        <w:kinsoku/>
        <w:wordWrap/>
        <w:overflowPunct/>
        <w:topLinePunct w:val="0"/>
        <w:bidi w:val="0"/>
        <w:snapToGrid/>
        <w:spacing w:line="576" w:lineRule="exact"/>
        <w:ind w:firstLine="640" w:firstLineChars="200"/>
        <w:jc w:val="left"/>
        <w:textAlignment w:val="auto"/>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年财政拨款收支总预算</w:t>
      </w:r>
      <w:r>
        <w:rPr>
          <w:rFonts w:hint="eastAsia" w:ascii="仿宋" w:hAnsi="仿宋" w:eastAsia="仿宋"/>
          <w:sz w:val="32"/>
          <w:szCs w:val="32"/>
          <w:u w:val="single"/>
        </w:rPr>
        <w:t>198.43</w:t>
      </w:r>
      <w:r>
        <w:rPr>
          <w:rFonts w:hint="eastAsia" w:ascii="仿宋" w:hAnsi="仿宋" w:eastAsia="仿宋"/>
          <w:sz w:val="32"/>
          <w:szCs w:val="32"/>
        </w:rPr>
        <w:t>万元。收入为一般公共预算拨款</w:t>
      </w:r>
      <w:r>
        <w:rPr>
          <w:rFonts w:hint="eastAsia" w:ascii="仿宋" w:hAnsi="仿宋" w:eastAsia="仿宋"/>
          <w:sz w:val="32"/>
          <w:szCs w:val="32"/>
          <w:u w:val="single"/>
          <w:lang w:val="en-US" w:eastAsia="zh-CN"/>
        </w:rPr>
        <w:t>198.43</w:t>
      </w:r>
      <w:r>
        <w:rPr>
          <w:rFonts w:hint="eastAsia" w:ascii="仿宋" w:hAnsi="仿宋" w:eastAsia="仿宋"/>
          <w:sz w:val="32"/>
          <w:szCs w:val="32"/>
          <w:lang w:val="en-US" w:eastAsia="zh-CN"/>
        </w:rPr>
        <w:t>万元</w:t>
      </w:r>
      <w:r>
        <w:rPr>
          <w:rFonts w:hint="eastAsia" w:ascii="仿宋" w:hAnsi="仿宋" w:eastAsia="仿宋"/>
          <w:sz w:val="32"/>
          <w:szCs w:val="32"/>
        </w:rPr>
        <w:t>，包括：一般公共预算当年拨款收入</w:t>
      </w:r>
      <w:r>
        <w:rPr>
          <w:rFonts w:hint="eastAsia" w:ascii="仿宋" w:hAnsi="仿宋" w:eastAsia="仿宋"/>
          <w:sz w:val="32"/>
          <w:szCs w:val="32"/>
          <w:u w:val="single"/>
          <w:lang w:val="en-US" w:eastAsia="zh-CN"/>
        </w:rPr>
        <w:t>198.43</w:t>
      </w:r>
      <w:r>
        <w:rPr>
          <w:rFonts w:hint="eastAsia" w:ascii="仿宋" w:hAnsi="仿宋" w:eastAsia="仿宋"/>
          <w:sz w:val="32"/>
          <w:szCs w:val="32"/>
        </w:rPr>
        <w:t>万元；支出包括：一般公共服务支出</w:t>
      </w:r>
      <w:r>
        <w:rPr>
          <w:rFonts w:hint="eastAsia" w:ascii="仿宋" w:hAnsi="仿宋" w:eastAsia="仿宋"/>
          <w:color w:val="auto"/>
          <w:sz w:val="32"/>
          <w:szCs w:val="32"/>
          <w:u w:val="single"/>
        </w:rPr>
        <w:t>145.03</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21.96</w:t>
      </w:r>
      <w:r>
        <w:rPr>
          <w:rFonts w:hint="eastAsia" w:ascii="仿宋" w:hAnsi="仿宋" w:eastAsia="仿宋"/>
          <w:sz w:val="32"/>
          <w:szCs w:val="32"/>
        </w:rPr>
        <w:t>万元、卫生健康支出</w:t>
      </w:r>
      <w:r>
        <w:rPr>
          <w:rFonts w:hint="eastAsia" w:ascii="仿宋" w:hAnsi="仿宋" w:eastAsia="仿宋"/>
          <w:sz w:val="32"/>
          <w:szCs w:val="32"/>
          <w:u w:val="single"/>
        </w:rPr>
        <w:t>16.57</w:t>
      </w:r>
      <w:r>
        <w:rPr>
          <w:rFonts w:hint="eastAsia" w:ascii="仿宋" w:hAnsi="仿宋" w:eastAsia="仿宋"/>
          <w:sz w:val="32"/>
          <w:szCs w:val="32"/>
        </w:rPr>
        <w:t>万元、住房保障支出</w:t>
      </w:r>
      <w:r>
        <w:rPr>
          <w:rFonts w:hint="eastAsia" w:ascii="仿宋" w:hAnsi="仿宋" w:eastAsia="仿宋"/>
          <w:sz w:val="32"/>
          <w:szCs w:val="32"/>
          <w:u w:val="single"/>
        </w:rPr>
        <w:t>14.87</w:t>
      </w:r>
      <w:r>
        <w:rPr>
          <w:rFonts w:hint="eastAsia" w:ascii="仿宋" w:hAnsi="仿宋" w:eastAsia="仿宋"/>
          <w:sz w:val="32"/>
          <w:szCs w:val="32"/>
        </w:rPr>
        <w:t>万元。</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w:t>
      </w:r>
      <w:r>
        <w:rPr>
          <w:rFonts w:hint="eastAsia" w:ascii="黑体" w:hAnsi="黑体" w:eastAsia="黑体"/>
          <w:sz w:val="32"/>
          <w:szCs w:val="32"/>
        </w:rPr>
        <w:t>年一般公共预算支出表的说明</w:t>
      </w:r>
    </w:p>
    <w:p>
      <w:pPr>
        <w:keepNext w:val="0"/>
        <w:keepLines w:val="0"/>
        <w:pageBreakBefore w:val="0"/>
        <w:kinsoku/>
        <w:wordWrap/>
        <w:overflowPunct/>
        <w:topLinePunct w:val="0"/>
        <w:bidi w:val="0"/>
        <w:snapToGrid/>
        <w:spacing w:line="576" w:lineRule="exact"/>
        <w:textAlignment w:val="auto"/>
        <w:rPr>
          <w:rFonts w:ascii="楷体" w:hAnsi="楷体" w:eastAsia="楷体"/>
          <w:sz w:val="32"/>
          <w:szCs w:val="32"/>
        </w:rPr>
      </w:pPr>
      <w:r>
        <w:rPr>
          <w:rFonts w:hint="eastAsia" w:ascii="楷体" w:hAnsi="楷体" w:eastAsia="楷体"/>
          <w:sz w:val="32"/>
          <w:szCs w:val="32"/>
        </w:rPr>
        <w:t>（一）一般公共预算当年拨款规模变化情况。</w:t>
      </w:r>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2023</w:t>
      </w:r>
      <w:r>
        <w:rPr>
          <w:rFonts w:hint="eastAsia" w:ascii="仿宋" w:hAnsi="仿宋" w:eastAsia="仿宋"/>
          <w:sz w:val="32"/>
          <w:szCs w:val="32"/>
        </w:rPr>
        <w:t>年一般公共预算当年拨款</w:t>
      </w:r>
      <w:r>
        <w:rPr>
          <w:rFonts w:hint="eastAsia" w:ascii="仿宋" w:hAnsi="仿宋" w:eastAsia="仿宋"/>
          <w:sz w:val="32"/>
          <w:szCs w:val="32"/>
          <w:u w:val="single"/>
        </w:rPr>
        <w:t>198.43</w:t>
      </w:r>
      <w:r>
        <w:rPr>
          <w:rFonts w:hint="eastAsia" w:ascii="仿宋" w:hAnsi="仿宋" w:eastAsia="仿宋"/>
          <w:sz w:val="32"/>
          <w:szCs w:val="32"/>
        </w:rPr>
        <w:t>万元</w:t>
      </w:r>
      <w:r>
        <w:rPr>
          <w:rFonts w:hint="eastAsia" w:ascii="仿宋" w:hAnsi="仿宋" w:eastAsia="仿宋"/>
          <w:sz w:val="32"/>
          <w:szCs w:val="32"/>
          <w:lang w:eastAsia="zh-CN"/>
        </w:rPr>
        <w:t>。</w:t>
      </w:r>
    </w:p>
    <w:p>
      <w:pPr>
        <w:keepNext w:val="0"/>
        <w:keepLines w:val="0"/>
        <w:pageBreakBefore w:val="0"/>
        <w:kinsoku/>
        <w:wordWrap/>
        <w:overflowPunct/>
        <w:topLinePunct w:val="0"/>
        <w:bidi w:val="0"/>
        <w:snapToGrid/>
        <w:spacing w:line="576" w:lineRule="exact"/>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wordWrap/>
        <w:overflowPunct/>
        <w:topLinePunct w:val="0"/>
        <w:bidi w:val="0"/>
        <w:snapToGrid/>
        <w:spacing w:line="576"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145.03</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社会保障和就业支出</w:t>
      </w:r>
      <w:r>
        <w:rPr>
          <w:rFonts w:hint="eastAsia" w:ascii="仿宋" w:hAnsi="仿宋" w:eastAsia="仿宋"/>
          <w:sz w:val="32"/>
          <w:szCs w:val="32"/>
          <w:u w:val="single"/>
        </w:rPr>
        <w:t xml:space="preserve"> 21.96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11</w:t>
      </w:r>
      <w:r>
        <w:rPr>
          <w:rFonts w:hint="eastAsia" w:ascii="仿宋" w:hAnsi="仿宋" w:eastAsia="仿宋"/>
          <w:sz w:val="32"/>
          <w:szCs w:val="32"/>
        </w:rPr>
        <w:t>%；卫生健康支出</w:t>
      </w:r>
      <w:r>
        <w:rPr>
          <w:rFonts w:hint="eastAsia" w:ascii="仿宋" w:hAnsi="仿宋" w:eastAsia="仿宋"/>
          <w:sz w:val="32"/>
          <w:szCs w:val="32"/>
          <w:u w:val="single"/>
        </w:rPr>
        <w:t>16.57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8</w:t>
      </w:r>
      <w:r>
        <w:rPr>
          <w:rFonts w:hint="eastAsia" w:ascii="仿宋" w:hAnsi="仿宋" w:eastAsia="仿宋"/>
          <w:sz w:val="32"/>
          <w:szCs w:val="32"/>
        </w:rPr>
        <w:t>%；住房保障支出</w:t>
      </w:r>
      <w:r>
        <w:rPr>
          <w:rFonts w:hint="eastAsia" w:ascii="仿宋" w:hAnsi="仿宋" w:eastAsia="仿宋"/>
          <w:sz w:val="32"/>
          <w:szCs w:val="32"/>
          <w:u w:val="single"/>
        </w:rPr>
        <w:t>14.87</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7</w:t>
      </w:r>
      <w:r>
        <w:rPr>
          <w:rFonts w:hint="eastAsia" w:ascii="仿宋" w:hAnsi="仿宋" w:eastAsia="仿宋"/>
          <w:sz w:val="32"/>
          <w:szCs w:val="32"/>
        </w:rPr>
        <w:t>%；。</w:t>
      </w:r>
    </w:p>
    <w:p>
      <w:pPr>
        <w:keepNext w:val="0"/>
        <w:keepLines w:val="0"/>
        <w:pageBreakBefore w:val="0"/>
        <w:kinsoku/>
        <w:wordWrap/>
        <w:overflowPunct/>
        <w:topLinePunct w:val="0"/>
        <w:bidi w:val="0"/>
        <w:snapToGrid/>
        <w:spacing w:line="576" w:lineRule="exact"/>
        <w:textAlignment w:val="auto"/>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numPr>
          <w:ilvl w:val="0"/>
          <w:numId w:val="0"/>
        </w:numPr>
        <w:kinsoku/>
        <w:wordWrap/>
        <w:overflowPunct/>
        <w:topLinePunct w:val="0"/>
        <w:bidi w:val="0"/>
        <w:snapToGrid/>
        <w:spacing w:line="576"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一般公共服务支出（类）财政事务（款）行政运行（项）</w:t>
      </w:r>
      <w:r>
        <w:rPr>
          <w:rFonts w:hint="eastAsia" w:ascii="仿宋" w:hAnsi="仿宋" w:eastAsia="仿宋"/>
          <w:sz w:val="32"/>
          <w:szCs w:val="32"/>
          <w:lang w:eastAsia="zh-CN"/>
        </w:rPr>
        <w:t>2023</w:t>
      </w:r>
      <w:r>
        <w:rPr>
          <w:rFonts w:hint="eastAsia" w:ascii="仿宋" w:hAnsi="仿宋" w:eastAsia="仿宋"/>
          <w:sz w:val="32"/>
          <w:szCs w:val="32"/>
        </w:rPr>
        <w:t>年预算数为</w:t>
      </w:r>
      <w:r>
        <w:rPr>
          <w:rFonts w:hint="eastAsia" w:ascii="仿宋" w:hAnsi="仿宋" w:eastAsia="仿宋"/>
          <w:sz w:val="32"/>
          <w:szCs w:val="32"/>
          <w:u w:val="single"/>
          <w:lang w:val="en-US" w:eastAsia="zh-CN"/>
        </w:rPr>
        <w:t>142.14</w:t>
      </w:r>
      <w:r>
        <w:rPr>
          <w:rFonts w:hint="eastAsia" w:ascii="仿宋" w:hAnsi="仿宋" w:eastAsia="仿宋"/>
          <w:sz w:val="32"/>
          <w:szCs w:val="32"/>
        </w:rPr>
        <w:t>万元</w:t>
      </w:r>
      <w:r>
        <w:rPr>
          <w:rFonts w:hint="eastAsia" w:ascii="仿宋" w:hAnsi="仿宋" w:eastAsia="仿宋"/>
          <w:sz w:val="32"/>
          <w:szCs w:val="32"/>
          <w:lang w:eastAsia="zh-CN"/>
        </w:rPr>
        <w:t>。</w:t>
      </w:r>
    </w:p>
    <w:p>
      <w:pPr>
        <w:keepNext w:val="0"/>
        <w:keepLines w:val="0"/>
        <w:pageBreakBefore w:val="0"/>
        <w:kinsoku/>
        <w:wordWrap/>
        <w:overflowPunct/>
        <w:topLinePunct w:val="0"/>
        <w:bidi w:val="0"/>
        <w:snapToGrid/>
        <w:spacing w:line="576" w:lineRule="exact"/>
        <w:textAlignment w:val="auto"/>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u w:val="single"/>
        </w:rPr>
        <w:t>193.43</w:t>
      </w:r>
      <w:r>
        <w:rPr>
          <w:rFonts w:hint="eastAsia" w:ascii="仿宋" w:hAnsi="仿宋" w:eastAsia="仿宋"/>
          <w:sz w:val="32"/>
          <w:szCs w:val="32"/>
        </w:rPr>
        <w:t>万元，其中：人员经费</w:t>
      </w:r>
      <w:r>
        <w:rPr>
          <w:rFonts w:hint="eastAsia" w:ascii="仿宋" w:hAnsi="仿宋" w:eastAsia="仿宋"/>
          <w:sz w:val="32"/>
          <w:szCs w:val="32"/>
          <w:u w:val="single"/>
          <w:lang w:val="en-US" w:eastAsia="zh-CN"/>
        </w:rPr>
        <w:t>183.94</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u w:val="single"/>
          <w:lang w:val="en-US" w:eastAsia="zh-CN"/>
        </w:rPr>
        <w:t>122.06</w:t>
      </w:r>
      <w:r>
        <w:rPr>
          <w:rFonts w:hint="eastAsia" w:ascii="仿宋" w:hAnsi="仿宋" w:eastAsia="仿宋"/>
          <w:sz w:val="32"/>
          <w:szCs w:val="32"/>
          <w:lang w:val="en-US" w:eastAsia="zh-CN"/>
        </w:rPr>
        <w:t>万元，</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21.69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12.60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u w:val="single"/>
          <w:lang w:val="en-US" w:eastAsia="zh-CN"/>
        </w:rPr>
        <w:t>2.89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u w:val="single"/>
          <w:lang w:val="en-US" w:eastAsia="zh-CN"/>
        </w:rPr>
        <w:t>0.27</w:t>
      </w:r>
      <w:r>
        <w:rPr>
          <w:rFonts w:hint="eastAsia" w:ascii="仿宋" w:hAnsi="仿宋" w:eastAsia="仿宋"/>
          <w:sz w:val="32"/>
          <w:szCs w:val="32"/>
          <w:lang w:val="en-US" w:eastAsia="zh-CN"/>
        </w:rPr>
        <w:t>万元</w:t>
      </w:r>
      <w:r>
        <w:rPr>
          <w:rFonts w:hint="eastAsia" w:ascii="仿宋" w:hAnsi="仿宋" w:eastAsia="仿宋"/>
          <w:sz w:val="32"/>
          <w:szCs w:val="32"/>
        </w:rPr>
        <w:t>、医疗费补助</w:t>
      </w:r>
      <w:r>
        <w:rPr>
          <w:rFonts w:hint="eastAsia" w:ascii="仿宋" w:hAnsi="仿宋" w:eastAsia="仿宋"/>
          <w:sz w:val="32"/>
          <w:szCs w:val="32"/>
          <w:u w:val="single"/>
        </w:rPr>
        <w:t>1.08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8.48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u w:val="single"/>
          <w:lang w:val="en-US" w:eastAsia="zh-CN"/>
        </w:rPr>
        <w:t>14.87</w:t>
      </w:r>
      <w:r>
        <w:rPr>
          <w:rFonts w:hint="eastAsia" w:ascii="仿宋" w:hAnsi="仿宋" w:eastAsia="仿宋"/>
          <w:sz w:val="32"/>
          <w:szCs w:val="32"/>
          <w:lang w:val="en-US" w:eastAsia="zh-CN"/>
        </w:rPr>
        <w:t>万元。</w:t>
      </w:r>
    </w:p>
    <w:p>
      <w:pPr>
        <w:keepNext w:val="0"/>
        <w:keepLines w:val="0"/>
        <w:pageBreakBefore w:val="0"/>
        <w:kinsoku/>
        <w:wordWrap/>
        <w:overflowPunct/>
        <w:topLinePunct w:val="0"/>
        <w:bidi w:val="0"/>
        <w:snapToGrid/>
        <w:spacing w:line="576" w:lineRule="exact"/>
        <w:ind w:firstLine="640" w:firstLineChars="200"/>
        <w:textAlignment w:val="auto"/>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9.49</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u w:val="single"/>
          <w:lang w:val="en-US" w:eastAsia="zh-CN"/>
        </w:rPr>
        <w:t>2.70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u w:val="single"/>
          <w:lang w:val="en-US" w:eastAsia="zh-CN"/>
        </w:rPr>
        <w:t>0.24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u w:val="single"/>
          <w:lang w:val="en-US" w:eastAsia="zh-CN"/>
        </w:rPr>
        <w:t>0.06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u w:val="single"/>
          <w:lang w:val="en-US" w:eastAsia="zh-CN"/>
        </w:rPr>
        <w:t>0.42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u w:val="single"/>
          <w:lang w:val="en-US" w:eastAsia="zh-CN"/>
        </w:rPr>
        <w:t>0.30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u w:val="single"/>
          <w:lang w:val="en-US" w:eastAsia="zh-CN"/>
        </w:rPr>
        <w:t>0.18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u w:val="single"/>
          <w:lang w:val="en-US" w:eastAsia="zh-CN"/>
        </w:rPr>
        <w:t>2.40</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u w:val="single"/>
          <w:lang w:val="en-US" w:eastAsia="zh-CN"/>
        </w:rPr>
        <w:t>0.18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u w:val="single"/>
          <w:lang w:val="en-US" w:eastAsia="zh-CN"/>
        </w:rPr>
        <w:t>0.06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u w:val="single"/>
          <w:lang w:val="en-US" w:eastAsia="zh-CN"/>
        </w:rPr>
        <w:t>0.06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u w:val="single"/>
          <w:lang w:val="en-US" w:eastAsia="zh-CN"/>
        </w:rPr>
        <w:t>2.89</w:t>
      </w:r>
      <w:r>
        <w:rPr>
          <w:rFonts w:hint="eastAsia" w:ascii="仿宋" w:hAnsi="仿宋" w:eastAsia="仿宋"/>
          <w:sz w:val="32"/>
          <w:szCs w:val="32"/>
          <w:lang w:val="en-US" w:eastAsia="zh-CN"/>
        </w:rPr>
        <w:t>万元</w:t>
      </w:r>
      <w:r>
        <w:rPr>
          <w:rFonts w:hint="eastAsia" w:ascii="仿宋" w:hAnsi="仿宋" w:eastAsia="仿宋"/>
          <w:sz w:val="32"/>
          <w:szCs w:val="32"/>
        </w:rPr>
        <w:t>。</w:t>
      </w:r>
    </w:p>
    <w:p>
      <w:pPr>
        <w:keepNext w:val="0"/>
        <w:keepLines w:val="0"/>
        <w:pageBreakBefore w:val="0"/>
        <w:kinsoku/>
        <w:wordWrap/>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pStyle w:val="5"/>
        <w:keepNext w:val="0"/>
        <w:keepLines w:val="0"/>
        <w:pageBreakBefore w:val="0"/>
        <w:kinsoku/>
        <w:wordWrap/>
        <w:overflowPunct/>
        <w:topLinePunct w:val="0"/>
        <w:bidi w:val="0"/>
        <w:snapToGrid/>
        <w:spacing w:before="0" w:beforeAutospacing="0" w:after="0" w:afterAutospacing="0" w:line="576" w:lineRule="exact"/>
        <w:ind w:firstLine="480" w:firstLineChars="150"/>
        <w:jc w:val="both"/>
        <w:textAlignment w:val="auto"/>
        <w:rPr>
          <w:rFonts w:hint="eastAsia" w:ascii="仿宋" w:hAnsi="仿宋" w:eastAsia="仿宋" w:cs="Arial"/>
          <w:color w:val="333333"/>
          <w:sz w:val="32"/>
          <w:lang w:eastAsia="zh-CN"/>
        </w:rPr>
      </w:pPr>
      <w:r>
        <w:rPr>
          <w:rFonts w:hint="eastAsia" w:ascii="仿宋" w:hAnsi="仿宋" w:eastAsia="仿宋" w:cs="Arial"/>
          <w:color w:val="333333"/>
          <w:sz w:val="32"/>
        </w:rPr>
        <w:t>“三公”经费支出预算0</w:t>
      </w:r>
      <w:r>
        <w:rPr>
          <w:rFonts w:hint="eastAsia" w:ascii="仿宋" w:hAnsi="仿宋" w:eastAsia="仿宋" w:cs="Arial"/>
          <w:color w:val="333333"/>
          <w:sz w:val="32"/>
          <w:lang w:eastAsia="zh-CN"/>
        </w:rPr>
        <w:t>。</w:t>
      </w:r>
    </w:p>
    <w:p>
      <w:pPr>
        <w:pStyle w:val="5"/>
        <w:keepNext w:val="0"/>
        <w:keepLines w:val="0"/>
        <w:pageBreakBefore w:val="0"/>
        <w:kinsoku/>
        <w:wordWrap/>
        <w:overflowPunct/>
        <w:topLinePunct w:val="0"/>
        <w:bidi w:val="0"/>
        <w:snapToGrid/>
        <w:spacing w:before="0" w:beforeAutospacing="0" w:after="0" w:afterAutospacing="0" w:line="576" w:lineRule="exact"/>
        <w:ind w:firstLine="480" w:firstLineChars="150"/>
        <w:jc w:val="both"/>
        <w:textAlignment w:val="auto"/>
        <w:rPr>
          <w:rFonts w:hint="eastAsia"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pStyle w:val="5"/>
        <w:keepNext w:val="0"/>
        <w:keepLines w:val="0"/>
        <w:pageBreakBefore w:val="0"/>
        <w:kinsoku/>
        <w:wordWrap/>
        <w:overflowPunct/>
        <w:topLinePunct w:val="0"/>
        <w:bidi w:val="0"/>
        <w:snapToGrid/>
        <w:spacing w:before="0" w:beforeAutospacing="0" w:after="0" w:afterAutospacing="0" w:line="576"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2023</w:t>
      </w:r>
      <w:r>
        <w:rPr>
          <w:rFonts w:hint="eastAsia" w:ascii="仿宋" w:hAnsi="仿宋" w:eastAsia="仿宋"/>
          <w:sz w:val="32"/>
          <w:szCs w:val="32"/>
        </w:rPr>
        <w:t>年度没有政府性基金安排的支出。</w:t>
      </w:r>
    </w:p>
    <w:p>
      <w:pPr>
        <w:keepNext w:val="0"/>
        <w:keepLines w:val="0"/>
        <w:pageBreakBefore w:val="0"/>
        <w:kinsoku/>
        <w:wordWrap/>
        <w:overflowPunct/>
        <w:topLinePunct w:val="0"/>
        <w:bidi w:val="0"/>
        <w:snapToGrid/>
        <w:spacing w:line="576" w:lineRule="exact"/>
        <w:ind w:firstLine="640" w:firstLineChars="200"/>
        <w:textAlignment w:val="auto"/>
        <w:rPr>
          <w:rFonts w:ascii="黑体" w:hAnsi="黑体" w:eastAsia="黑体"/>
          <w:sz w:val="32"/>
          <w:szCs w:val="32"/>
        </w:rPr>
      </w:pPr>
      <w:r>
        <w:rPr>
          <w:rFonts w:hint="eastAsia" w:ascii="黑体" w:hAnsi="黑体" w:eastAsia="黑体"/>
          <w:sz w:val="32"/>
          <w:szCs w:val="32"/>
        </w:rPr>
        <w:t>九、其他重要事项的情况说明</w:t>
      </w:r>
    </w:p>
    <w:p>
      <w:pPr>
        <w:keepNext w:val="0"/>
        <w:keepLines w:val="0"/>
        <w:pageBreakBefore w:val="0"/>
        <w:kinsoku/>
        <w:wordWrap/>
        <w:overflowPunct/>
        <w:topLinePunct w:val="0"/>
        <w:bidi w:val="0"/>
        <w:snapToGrid/>
        <w:spacing w:line="576"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楷体" w:hAnsi="楷体" w:eastAsia="楷体"/>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ascii="仿宋" w:hAnsi="仿宋" w:eastAsia="仿宋"/>
          <w:sz w:val="32"/>
          <w:szCs w:val="32"/>
        </w:rPr>
        <w:t>年</w:t>
      </w:r>
      <w:r>
        <w:rPr>
          <w:rFonts w:hint="eastAsia" w:ascii="仿宋" w:hAnsi="仿宋" w:eastAsia="仿宋"/>
          <w:sz w:val="32"/>
          <w:szCs w:val="32"/>
          <w:lang w:val="en-US" w:eastAsia="zh-CN"/>
        </w:rPr>
        <w:t>行政审批局</w:t>
      </w:r>
      <w:r>
        <w:rPr>
          <w:rFonts w:ascii="仿宋" w:hAnsi="仿宋" w:eastAsia="仿宋"/>
          <w:sz w:val="32"/>
          <w:szCs w:val="32"/>
        </w:rPr>
        <w:t>机关运行经费财政拨款预算</w:t>
      </w:r>
      <w:r>
        <w:rPr>
          <w:rFonts w:hint="eastAsia" w:ascii="仿宋" w:hAnsi="仿宋" w:eastAsia="仿宋"/>
          <w:sz w:val="32"/>
          <w:szCs w:val="32"/>
          <w:lang w:val="en-US" w:eastAsia="zh-CN"/>
        </w:rPr>
        <w:t>194.43</w:t>
      </w:r>
      <w:r>
        <w:rPr>
          <w:rFonts w:ascii="仿宋" w:hAnsi="仿宋" w:eastAsia="仿宋"/>
          <w:sz w:val="32"/>
          <w:szCs w:val="32"/>
        </w:rPr>
        <w:t>万元。</w:t>
      </w:r>
    </w:p>
    <w:p>
      <w:pPr>
        <w:keepNext w:val="0"/>
        <w:keepLines w:val="0"/>
        <w:pageBreakBefore w:val="0"/>
        <w:numPr>
          <w:ilvl w:val="0"/>
          <w:numId w:val="1"/>
        </w:numPr>
        <w:kinsoku/>
        <w:wordWrap/>
        <w:overflowPunct/>
        <w:topLinePunct w:val="0"/>
        <w:autoSpaceDE w:val="0"/>
        <w:autoSpaceDN w:val="0"/>
        <w:bidi w:val="0"/>
        <w:adjustRightInd w:val="0"/>
        <w:snapToGrid/>
        <w:spacing w:line="576" w:lineRule="exact"/>
        <w:ind w:firstLine="640" w:firstLineChars="200"/>
        <w:textAlignment w:val="auto"/>
        <w:rPr>
          <w:rFonts w:hint="default" w:ascii="楷体" w:hAnsi="楷体" w:eastAsia="楷体"/>
          <w:sz w:val="32"/>
          <w:szCs w:val="32"/>
          <w:lang w:val="en-US" w:eastAsia="zh-CN"/>
        </w:rPr>
      </w:pPr>
      <w:r>
        <w:rPr>
          <w:rFonts w:hint="eastAsia" w:ascii="楷体" w:hAnsi="楷体" w:eastAsia="楷体"/>
          <w:sz w:val="32"/>
          <w:szCs w:val="32"/>
        </w:rPr>
        <w:t>政府采购情况说明。</w:t>
      </w:r>
    </w:p>
    <w:p>
      <w:pPr>
        <w:autoSpaceDE w:val="0"/>
        <w:autoSpaceDN w:val="0"/>
        <w:adjustRightInd w:val="0"/>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无</w:t>
      </w:r>
    </w:p>
    <w:p>
      <w:pPr>
        <w:keepNext w:val="0"/>
        <w:keepLines w:val="0"/>
        <w:pageBreakBefore w:val="0"/>
        <w:numPr>
          <w:ilvl w:val="0"/>
          <w:numId w:val="1"/>
        </w:numPr>
        <w:kinsoku/>
        <w:wordWrap/>
        <w:overflowPunct/>
        <w:topLinePunct w:val="0"/>
        <w:bidi w:val="0"/>
        <w:snapToGrid/>
        <w:spacing w:line="576" w:lineRule="exact"/>
        <w:ind w:left="0" w:leftChars="0" w:firstLine="640" w:firstLineChars="200"/>
        <w:textAlignment w:val="auto"/>
        <w:rPr>
          <w:rFonts w:hint="eastAsia" w:ascii="楷体" w:hAnsi="楷体" w:eastAsia="楷体"/>
          <w:sz w:val="32"/>
          <w:szCs w:val="32"/>
        </w:rPr>
      </w:pPr>
      <w:r>
        <w:rPr>
          <w:rFonts w:hint="eastAsia" w:ascii="楷体" w:hAnsi="楷体" w:eastAsia="楷体"/>
          <w:sz w:val="32"/>
          <w:szCs w:val="32"/>
        </w:rPr>
        <w:t>国有资产占有使用情况说明。</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无</w:t>
      </w:r>
    </w:p>
    <w:p>
      <w:pPr>
        <w:keepNext w:val="0"/>
        <w:keepLines w:val="0"/>
        <w:pageBreakBefore w:val="0"/>
        <w:kinsoku/>
        <w:wordWrap/>
        <w:overflowPunct/>
        <w:topLinePunct w:val="0"/>
        <w:bidi w:val="0"/>
        <w:snapToGrid/>
        <w:spacing w:line="576"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无</w:t>
      </w:r>
    </w:p>
    <w:p>
      <w:pPr>
        <w:keepNext w:val="0"/>
        <w:keepLines w:val="0"/>
        <w:pageBreakBefore w:val="0"/>
        <w:numPr>
          <w:ilvl w:val="0"/>
          <w:numId w:val="1"/>
        </w:numPr>
        <w:kinsoku/>
        <w:wordWrap/>
        <w:overflowPunct/>
        <w:topLinePunct w:val="0"/>
        <w:bidi w:val="0"/>
        <w:snapToGrid/>
        <w:spacing w:line="576" w:lineRule="exact"/>
        <w:ind w:left="0" w:leftChars="0" w:firstLine="640" w:firstLineChars="200"/>
        <w:textAlignment w:val="auto"/>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无</w:t>
      </w:r>
    </w:p>
    <w:p>
      <w:pPr>
        <w:keepNext w:val="0"/>
        <w:keepLines w:val="0"/>
        <w:pageBreakBefore w:val="0"/>
        <w:numPr>
          <w:ilvl w:val="0"/>
          <w:numId w:val="2"/>
        </w:numPr>
        <w:kinsoku/>
        <w:wordWrap/>
        <w:overflowPunct/>
        <w:topLinePunct w:val="0"/>
        <w:bidi w:val="0"/>
        <w:snapToGrid/>
        <w:spacing w:line="576"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政府债务情况。</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无</w:t>
      </w:r>
    </w:p>
    <w:p>
      <w:pPr>
        <w:keepNext w:val="0"/>
        <w:keepLines w:val="0"/>
        <w:pageBreakBefore w:val="0"/>
        <w:kinsoku/>
        <w:wordWrap/>
        <w:overflowPunct/>
        <w:topLinePunct w:val="0"/>
        <w:bidi w:val="0"/>
        <w:snapToGrid/>
        <w:spacing w:line="576" w:lineRule="exact"/>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ind w:firstLine="640" w:firstLineChars="200"/>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32"/>
          <w:szCs w:val="32"/>
        </w:rPr>
      </w:pPr>
    </w:p>
    <w:p>
      <w:pPr>
        <w:keepNext w:val="0"/>
        <w:keepLines w:val="0"/>
        <w:pageBreakBefore w:val="0"/>
        <w:kinsoku/>
        <w:wordWrap/>
        <w:overflowPunct/>
        <w:topLinePunct w:val="0"/>
        <w:bidi w:val="0"/>
        <w:snapToGrid/>
        <w:spacing w:line="576" w:lineRule="exact"/>
        <w:jc w:val="center"/>
        <w:textAlignment w:val="auto"/>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keepNext w:val="0"/>
        <w:keepLines w:val="0"/>
        <w:pageBreakBefore w:val="0"/>
        <w:kinsoku/>
        <w:wordWrap/>
        <w:overflowPunct/>
        <w:topLinePunct w:val="0"/>
        <w:bidi w:val="0"/>
        <w:snapToGrid/>
        <w:spacing w:line="576" w:lineRule="exact"/>
        <w:textAlignment w:val="auto"/>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keepNext w:val="0"/>
        <w:keepLines w:val="0"/>
        <w:pageBreakBefore w:val="0"/>
        <w:kinsoku/>
        <w:wordWrap/>
        <w:overflowPunct/>
        <w:topLinePunct w:val="0"/>
        <w:autoSpaceDE w:val="0"/>
        <w:autoSpaceDN w:val="0"/>
        <w:bidi w:val="0"/>
        <w:adjustRightInd w:val="0"/>
        <w:snapToGrid/>
        <w:spacing w:line="576" w:lineRule="exact"/>
        <w:jc w:val="left"/>
        <w:textAlignment w:val="auto"/>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keepNext w:val="0"/>
        <w:keepLines w:val="0"/>
        <w:pageBreakBefore w:val="0"/>
        <w:kinsoku/>
        <w:wordWrap/>
        <w:overflowPunct/>
        <w:topLinePunct w:val="0"/>
        <w:autoSpaceDE w:val="0"/>
        <w:autoSpaceDN w:val="0"/>
        <w:bidi w:val="0"/>
        <w:adjustRightInd w:val="0"/>
        <w:snapToGrid/>
        <w:spacing w:line="576" w:lineRule="exact"/>
        <w:jc w:val="left"/>
        <w:textAlignment w:val="auto"/>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keepNext w:val="0"/>
        <w:keepLines w:val="0"/>
        <w:pageBreakBefore w:val="0"/>
        <w:kinsoku/>
        <w:wordWrap/>
        <w:overflowPunct/>
        <w:topLinePunct w:val="0"/>
        <w:autoSpaceDE w:val="0"/>
        <w:autoSpaceDN w:val="0"/>
        <w:bidi w:val="0"/>
        <w:adjustRightInd w:val="0"/>
        <w:snapToGrid/>
        <w:spacing w:line="576" w:lineRule="exact"/>
        <w:jc w:val="left"/>
        <w:textAlignment w:val="auto"/>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Black">
    <w:panose1 w:val="020B0A04020102020204"/>
    <w:charset w:val="00"/>
    <w:family w:val="auto"/>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sz w:val="24"/>
        <w:szCs w:val="24"/>
      </w:rPr>
    </w:pP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12</w:t>
    </w:r>
    <w:r>
      <w:rPr>
        <w:rStyle w:val="8"/>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E8C3E"/>
    <w:multiLevelType w:val="singleLevel"/>
    <w:tmpl w:val="AE6E8C3E"/>
    <w:lvl w:ilvl="0" w:tentative="0">
      <w:start w:val="2"/>
      <w:numFmt w:val="chineseCounting"/>
      <w:suff w:val="nothing"/>
      <w:lvlText w:val="（%1）"/>
      <w:lvlJc w:val="left"/>
      <w:rPr>
        <w:rFonts w:hint="eastAsia"/>
      </w:rPr>
    </w:lvl>
  </w:abstractNum>
  <w:abstractNum w:abstractNumId="1">
    <w:nsid w:val="44554058"/>
    <w:multiLevelType w:val="singleLevel"/>
    <w:tmpl w:val="44554058"/>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18147845"/>
    <w:rsid w:val="284657F9"/>
    <w:rsid w:val="2AD215C5"/>
    <w:rsid w:val="2F341FCC"/>
    <w:rsid w:val="329C791F"/>
    <w:rsid w:val="35E46651"/>
    <w:rsid w:val="3AEA64B7"/>
    <w:rsid w:val="3F593C0C"/>
    <w:rsid w:val="45CA2161"/>
    <w:rsid w:val="491A4C85"/>
    <w:rsid w:val="493F3E72"/>
    <w:rsid w:val="58E6583E"/>
    <w:rsid w:val="645760BC"/>
    <w:rsid w:val="65B65064"/>
    <w:rsid w:val="6AAD33B9"/>
    <w:rsid w:val="74BB1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TotalTime>9</TotalTime>
  <ScaleCrop>false</ScaleCrop>
  <LinksUpToDate>false</LinksUpToDate>
  <CharactersWithSpaces>3930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行政</cp:lastModifiedBy>
  <cp:lastPrinted>2021-01-27T11:28:00Z</cp:lastPrinted>
  <dcterms:modified xsi:type="dcterms:W3CDTF">2023-03-13T09:11:49Z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2DB850F11D3F44559D9F0903785CE9C3</vt:lpwstr>
  </property>
</Properties>
</file>