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2024</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巴青县</w:t>
      </w:r>
      <w:r>
        <w:rPr>
          <w:rFonts w:hint="eastAsia" w:ascii="方正小标宋简体" w:hAnsi="仿宋" w:eastAsia="方正小标宋简体"/>
          <w:sz w:val="44"/>
          <w:szCs w:val="44"/>
        </w:rPr>
        <w:t>（</w:t>
      </w:r>
      <w:r>
        <w:rPr>
          <w:rFonts w:hint="eastAsia" w:ascii="方正小标宋简体" w:hAnsi="仿宋" w:eastAsia="方正小标宋简体"/>
          <w:sz w:val="44"/>
          <w:szCs w:val="44"/>
          <w:lang w:val="en-US" w:eastAsia="zh-CN"/>
        </w:rPr>
        <w:t>疾控中心</w:t>
      </w:r>
      <w:r>
        <w:rPr>
          <w:rFonts w:hint="eastAsia" w:ascii="方正小标宋简体" w:hAnsi="仿宋" w:eastAsia="方正小标宋简体"/>
          <w:sz w:val="44"/>
          <w:szCs w:val="44"/>
        </w:rPr>
        <w:t>）2024年度部门（单位）预算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6</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疾控中心</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疾控中心</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疾控中心</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巴青县</w:t>
      </w:r>
      <w:r>
        <w:rPr>
          <w:rFonts w:hint="eastAsia" w:ascii="方正小标宋简体" w:hAnsi="仿宋" w:eastAsia="方正小标宋简体"/>
          <w:sz w:val="32"/>
          <w:szCs w:val="32"/>
        </w:rPr>
        <w:t>（</w:t>
      </w:r>
      <w:r>
        <w:rPr>
          <w:rFonts w:hint="eastAsia" w:ascii="方正小标宋简体" w:hAnsi="仿宋" w:eastAsia="方正小标宋简体"/>
          <w:sz w:val="32"/>
          <w:szCs w:val="32"/>
          <w:lang w:val="en-US" w:eastAsia="zh-CN"/>
        </w:rPr>
        <w:t>疾控中心</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贯彻执行党中央、国务院及自治区市县有关医疗卫生工作的方针、政策和法律法规。</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2~贯物落疾控中心卫生体制改革，并重方针和国家疾控中心药法律法规，执行预防疾病政策：拟定实施疾控工作发展战略规划。</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指导</w:t>
      </w:r>
      <w:r>
        <w:rPr>
          <w:rFonts w:hint="eastAsia" w:ascii="仿宋" w:hAnsi="仿宋" w:eastAsia="仿宋"/>
          <w:sz w:val="32"/>
          <w:szCs w:val="32"/>
          <w:lang w:val="en-US" w:eastAsia="zh-CN"/>
        </w:rPr>
        <w:t>全县各医疗机构发展疾病预防控制</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3、开展有关疾控中</w:t>
      </w:r>
      <w:bookmarkStart w:id="0" w:name="_GoBack"/>
      <w:bookmarkEnd w:id="0"/>
      <w:r>
        <w:rPr>
          <w:rFonts w:hint="eastAsia" w:ascii="仿宋" w:hAnsi="仿宋" w:eastAsia="仿宋"/>
          <w:sz w:val="32"/>
          <w:szCs w:val="32"/>
          <w:lang w:val="en-US" w:eastAsia="zh-CN"/>
        </w:rPr>
        <w:t>心、流病调查、疫苗接种、健康教育等工作，确保全县人民健康需求。</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4、贯彻落实国家基本疾病预防制度和疫苗接种工作执行医用耗材集中采购工作等。</w:t>
      </w:r>
    </w:p>
    <w:p>
      <w:pPr>
        <w:ind w:firstLine="640" w:firstLineChars="200"/>
        <w:rPr>
          <w:rFonts w:hint="eastAsia" w:ascii="仿宋" w:hAnsi="仿宋" w:eastAsia="仿宋"/>
          <w:sz w:val="32"/>
          <w:szCs w:val="32"/>
          <w:lang w:val="en-US" w:eastAsia="zh-CN"/>
        </w:rPr>
      </w:pPr>
    </w:p>
    <w:p>
      <w:pPr>
        <w:numPr>
          <w:ilvl w:val="0"/>
          <w:numId w:val="1"/>
        </w:numPr>
        <w:rPr>
          <w:rFonts w:ascii="黑体" w:hAnsi="黑体" w:eastAsia="黑体"/>
          <w:sz w:val="32"/>
          <w:szCs w:val="32"/>
        </w:rPr>
      </w:pPr>
      <w:r>
        <w:rPr>
          <w:rFonts w:hint="eastAsia" w:ascii="黑体" w:hAnsi="黑体" w:eastAsia="黑体"/>
          <w:sz w:val="32"/>
          <w:szCs w:val="32"/>
        </w:rPr>
        <w:t>部门（单位）机构设置</w:t>
      </w:r>
      <w:r>
        <w:rPr>
          <w:rFonts w:ascii="黑体" w:hAnsi="黑体" w:eastAsia="黑体"/>
          <w:sz w:val="32"/>
          <w:szCs w:val="32"/>
        </w:rPr>
        <w:t>情况</w:t>
      </w:r>
    </w:p>
    <w:p>
      <w:pPr>
        <w:numPr>
          <w:ilvl w:val="0"/>
          <w:numId w:val="0"/>
        </w:numPr>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sz w:val="32"/>
          <w:szCs w:val="32"/>
          <w:lang w:val="en-US" w:eastAsia="zh-CN"/>
        </w:rPr>
        <w:t>巴青县疾控中心在职实有人数11人，其中主任1名其他人员10名，下设免疫规划科、地病科、慢病科、结麻科、流病科、性艾科、卫生科、材料科、财务科等9个科室。</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疾控中心</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疾控中心</w:t>
      </w: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562.84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322.15</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lang w:val="en-US" w:eastAsia="zh-CN"/>
        </w:rPr>
        <w:t>0</w:t>
      </w:r>
      <w:r>
        <w:rPr>
          <w:rFonts w:ascii="仿宋" w:hAnsi="仿宋" w:eastAsia="仿宋"/>
          <w:sz w:val="32"/>
          <w:szCs w:val="32"/>
        </w:rPr>
        <w:t>、国资预算拨款收入</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lang w:val="en-US" w:eastAsia="zh-CN"/>
        </w:rPr>
        <w:t>240.69</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0</w:t>
      </w:r>
      <w:r>
        <w:rPr>
          <w:rFonts w:hint="eastAsia" w:ascii="仿宋" w:hAnsi="仿宋" w:eastAsia="仿宋"/>
          <w:sz w:val="32"/>
          <w:szCs w:val="32"/>
        </w:rPr>
        <w:t>、外交支出</w:t>
      </w:r>
      <w:r>
        <w:rPr>
          <w:rFonts w:hint="eastAsia" w:ascii="仿宋" w:hAnsi="仿宋" w:eastAsia="仿宋"/>
          <w:sz w:val="32"/>
          <w:szCs w:val="32"/>
          <w:lang w:val="en-US" w:eastAsia="zh-CN"/>
        </w:rPr>
        <w:t>0</w:t>
      </w:r>
      <w:r>
        <w:rPr>
          <w:rFonts w:hint="eastAsia" w:ascii="仿宋" w:hAnsi="仿宋" w:eastAsia="仿宋"/>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、科学技术支出</w:t>
      </w:r>
      <w:r>
        <w:rPr>
          <w:rFonts w:hint="eastAsia" w:ascii="仿宋" w:hAnsi="仿宋" w:eastAsia="仿宋"/>
          <w:sz w:val="32"/>
          <w:szCs w:val="32"/>
          <w:lang w:val="en-US" w:eastAsia="zh-CN"/>
        </w:rPr>
        <w:t>0</w:t>
      </w:r>
      <w:r>
        <w:rPr>
          <w:rFonts w:hint="eastAsia" w:ascii="仿宋" w:hAnsi="仿宋" w:eastAsia="仿宋"/>
          <w:sz w:val="32"/>
          <w:szCs w:val="32"/>
        </w:rPr>
        <w:t>、卫生健康支出</w:t>
      </w:r>
      <w:r>
        <w:rPr>
          <w:rFonts w:hint="eastAsia" w:ascii="仿宋" w:hAnsi="仿宋" w:eastAsia="仿宋"/>
          <w:sz w:val="32"/>
          <w:szCs w:val="32"/>
          <w:lang w:val="en-US" w:eastAsia="zh-CN"/>
        </w:rPr>
        <w:t>501.59</w:t>
      </w:r>
      <w:r>
        <w:rPr>
          <w:rFonts w:hint="eastAsia" w:ascii="仿宋" w:hAnsi="仿宋" w:eastAsia="仿宋"/>
          <w:sz w:val="32"/>
          <w:szCs w:val="32"/>
        </w:rPr>
        <w:t>、</w:t>
      </w:r>
      <w:r>
        <w:rPr>
          <w:rFonts w:hint="eastAsia" w:ascii="仿宋" w:hAnsi="仿宋" w:eastAsia="仿宋"/>
          <w:sz w:val="32"/>
          <w:szCs w:val="32"/>
          <w:lang w:val="en-US" w:eastAsia="zh-CN"/>
        </w:rPr>
        <w:t>社会保障和就业支出37.25、住房保障支出24。</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lang w:val="en-US" w:eastAsia="zh-CN"/>
        </w:rPr>
        <w:t>562.84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 万元，主要</w:t>
      </w:r>
      <w:r>
        <w:rPr>
          <w:rFonts w:ascii="仿宋" w:hAnsi="仿宋" w:eastAsia="仿宋"/>
          <w:sz w:val="32"/>
          <w:szCs w:val="32"/>
        </w:rPr>
        <w:t>原因是：</w:t>
      </w:r>
      <w:r>
        <w:rPr>
          <w:rFonts w:hint="eastAsia" w:ascii="仿宋" w:hAnsi="仿宋" w:eastAsia="仿宋"/>
          <w:sz w:val="32"/>
          <w:szCs w:val="32"/>
          <w:lang w:val="en-US" w:eastAsia="zh-CN"/>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240.69</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42.76</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322.15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57.24</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562.84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290.75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250.69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44.4</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562.84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199.76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上年结余结转</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322.15</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240.69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37.25</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501.59</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24.00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240.69</w:t>
      </w:r>
      <w:r>
        <w:rPr>
          <w:rFonts w:hint="eastAsia" w:ascii="仿宋" w:hAnsi="仿宋" w:eastAsia="仿宋"/>
          <w:sz w:val="32"/>
          <w:szCs w:val="32"/>
        </w:rPr>
        <w:t>万元,比2023年执行数</w:t>
      </w:r>
      <w:r>
        <w:rPr>
          <w:rFonts w:ascii="仿宋" w:hAnsi="仿宋" w:eastAsia="仿宋"/>
          <w:sz w:val="32"/>
          <w:szCs w:val="32"/>
        </w:rPr>
        <w:t>增加</w:t>
      </w:r>
      <w:r>
        <w:rPr>
          <w:rFonts w:hint="eastAsia" w:ascii="仿宋" w:hAnsi="仿宋" w:eastAsia="仿宋"/>
          <w:sz w:val="32"/>
          <w:szCs w:val="32"/>
          <w:lang w:val="en-US" w:eastAsia="zh-CN"/>
        </w:rPr>
        <w:t>220.68</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上年结余结转</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240.69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240.69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322.15</w:t>
      </w:r>
      <w:r>
        <w:rPr>
          <w:rFonts w:hint="eastAsia" w:ascii="仿宋" w:hAnsi="仿宋" w:eastAsia="仿宋"/>
          <w:sz w:val="32"/>
          <w:szCs w:val="32"/>
          <w:u w:val="single"/>
        </w:rPr>
        <w:t xml:space="preserve">  </w:t>
      </w:r>
      <w:r>
        <w:rPr>
          <w:rFonts w:hint="eastAsia" w:ascii="仿宋" w:hAnsi="仿宋" w:eastAsia="仿宋"/>
          <w:sz w:val="32"/>
          <w:szCs w:val="32"/>
        </w:rPr>
        <w:t>万元，比2023年执行数减少</w:t>
      </w:r>
      <w:r>
        <w:rPr>
          <w:rFonts w:hint="eastAsia" w:ascii="仿宋" w:hAnsi="仿宋" w:eastAsia="仿宋"/>
          <w:sz w:val="32"/>
          <w:szCs w:val="32"/>
          <w:lang w:val="en-US" w:eastAsia="zh-CN"/>
        </w:rPr>
        <w:t>293.07</w:t>
      </w:r>
      <w:r>
        <w:rPr>
          <w:rFonts w:hint="eastAsia" w:ascii="仿宋" w:hAnsi="仿宋" w:eastAsia="仿宋"/>
          <w:sz w:val="32"/>
          <w:szCs w:val="32"/>
        </w:rPr>
        <w:t>万元，</w:t>
      </w:r>
      <w:r>
        <w:rPr>
          <w:rFonts w:hint="eastAsia" w:ascii="仿宋" w:hAnsi="仿宋" w:eastAsia="仿宋"/>
          <w:sz w:val="32"/>
          <w:szCs w:val="32"/>
          <w:lang w:val="en-US" w:eastAsia="zh-CN"/>
        </w:rPr>
        <w:t>增加90</w:t>
      </w:r>
      <w:r>
        <w:rPr>
          <w:rFonts w:hint="eastAsia" w:ascii="仿宋" w:hAnsi="仿宋" w:eastAsia="仿宋"/>
          <w:sz w:val="32"/>
          <w:szCs w:val="32"/>
        </w:rPr>
        <w:t>%。主要</w:t>
      </w:r>
      <w:r>
        <w:rPr>
          <w:rFonts w:hint="eastAsia" w:ascii="仿宋" w:hAnsi="仿宋" w:eastAsia="仿宋"/>
          <w:sz w:val="32"/>
          <w:szCs w:val="32"/>
          <w:lang w:val="en-US" w:eastAsia="zh-CN"/>
        </w:rPr>
        <w:t>是上年结余结转</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p>
    <w:p>
      <w:pPr>
        <w:ind w:firstLine="640" w:firstLineChars="200"/>
        <w:rPr>
          <w:rFonts w:ascii="仿宋" w:hAnsi="仿宋" w:eastAsia="仿宋"/>
          <w:sz w:val="32"/>
          <w:szCs w:val="32"/>
        </w:rPr>
      </w:pP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312.15</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290.75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33万元</w:t>
      </w:r>
      <w:r>
        <w:rPr>
          <w:rFonts w:hint="eastAsia" w:ascii="仿宋" w:hAnsi="仿宋" w:eastAsia="仿宋"/>
          <w:sz w:val="32"/>
          <w:szCs w:val="32"/>
        </w:rPr>
        <w:t>、津贴补贴</w:t>
      </w:r>
      <w:r>
        <w:rPr>
          <w:rFonts w:hint="eastAsia" w:ascii="仿宋" w:hAnsi="仿宋" w:eastAsia="仿宋"/>
          <w:sz w:val="32"/>
          <w:szCs w:val="32"/>
          <w:lang w:val="en-US" w:eastAsia="zh-CN"/>
        </w:rPr>
        <w:t>152.27万元</w:t>
      </w:r>
      <w:r>
        <w:rPr>
          <w:rFonts w:hint="eastAsia" w:ascii="仿宋" w:hAnsi="仿宋" w:eastAsia="仿宋"/>
          <w:sz w:val="32"/>
          <w:szCs w:val="32"/>
        </w:rPr>
        <w:t>、奖金</w:t>
      </w:r>
      <w:r>
        <w:rPr>
          <w:rFonts w:hint="eastAsia" w:ascii="仿宋" w:hAnsi="仿宋" w:eastAsia="仿宋"/>
          <w:sz w:val="32"/>
          <w:szCs w:val="32"/>
          <w:lang w:val="en-US" w:eastAsia="zh-CN"/>
        </w:rPr>
        <w:t>11.86万元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35.74万元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20.72万元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0</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1.51万元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lang w:val="en-US" w:eastAsia="zh-CN"/>
        </w:rPr>
        <w:t>1.19万元</w:t>
      </w:r>
      <w:r>
        <w:rPr>
          <w:rFonts w:hint="eastAsia" w:ascii="仿宋" w:hAnsi="仿宋" w:eastAsia="仿宋"/>
          <w:sz w:val="32"/>
          <w:szCs w:val="32"/>
        </w:rPr>
        <w:t>、</w:t>
      </w:r>
      <w:r>
        <w:rPr>
          <w:rFonts w:hint="eastAsia" w:ascii="仿宋" w:hAnsi="仿宋" w:eastAsia="仿宋"/>
          <w:sz w:val="32"/>
          <w:szCs w:val="32"/>
          <w:lang w:val="en-US" w:eastAsia="zh-CN"/>
        </w:rPr>
        <w:t>0.32万元</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9.68万元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24万元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1.98万元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0.3</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21.10</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4.95万元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0.44万元</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0.11万元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0.77万元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0.55万元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0.33万元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4.40万元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0.33万元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0.11万元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lang w:val="en-US" w:eastAsia="zh-CN"/>
        </w:rPr>
        <w:t>0.11万元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9.00万元</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车辆数和上年不变</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万元,比2023年执行数减少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val="en-US" w:eastAsia="zh-CN"/>
        </w:rPr>
        <w:t>我中心</w:t>
      </w:r>
      <w:r>
        <w:rPr>
          <w:rFonts w:hint="eastAsia" w:ascii="仿宋" w:hAnsi="仿宋" w:eastAsia="仿宋"/>
          <w:sz w:val="32"/>
          <w:szCs w:val="32"/>
        </w:rPr>
        <w:t>2024年度没有政府性基金安排的支出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公车数量和上年度不变</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下乡督导</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13</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322.16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322.16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57.2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巴青县疾病预防控制中心</w:t>
      </w:r>
    </w:p>
    <w:p>
      <w:pPr>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2024年2月6号</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6D413"/>
    <w:multiLevelType w:val="singleLevel"/>
    <w:tmpl w:val="F4A6D4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MDdkNjlhNzdlMWQxNTBjMjg1MzViOGUwYWUwMD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A0492"/>
    <w:rsid w:val="0482288A"/>
    <w:rsid w:val="0D735465"/>
    <w:rsid w:val="143771ED"/>
    <w:rsid w:val="32A216C4"/>
    <w:rsid w:val="3D2008B6"/>
    <w:rsid w:val="45356EC9"/>
    <w:rsid w:val="4ABF170F"/>
    <w:rsid w:val="4BEB208F"/>
    <w:rsid w:val="5A3F6B69"/>
    <w:rsid w:val="6C7B5734"/>
    <w:rsid w:val="7256286C"/>
    <w:rsid w:val="72BC5A19"/>
    <w:rsid w:val="78C0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199</TotalTime>
  <ScaleCrop>false</ScaleCrop>
  <LinksUpToDate>false</LinksUpToDate>
  <CharactersWithSpaces>4729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2024-02-05T08:18:00Z</cp:lastPrinted>
  <dcterms:modified xsi:type="dcterms:W3CDTF">2024-02-07T07:48:49Z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D08E3072EB164E2895A12796D7517829_13</vt:lpwstr>
  </property>
</Properties>
</file>