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jc w:val="center"/>
        <w:rPr>
          <w:rFonts w:ascii="方正小标宋简体" w:hAnsi="仿宋" w:eastAsia="方正小标宋简体"/>
          <w:sz w:val="44"/>
          <w:szCs w:val="44"/>
          <w:u w:val="none"/>
        </w:rPr>
      </w:pPr>
      <w:r>
        <w:rPr>
          <w:rFonts w:hint="eastAsia" w:ascii="方正小标宋简体" w:hAnsi="仿宋" w:eastAsia="方正小标宋简体"/>
          <w:sz w:val="44"/>
          <w:szCs w:val="44"/>
          <w:u w:val="none"/>
        </w:rPr>
        <w:t>202</w:t>
      </w:r>
      <w:r>
        <w:rPr>
          <w:rFonts w:ascii="方正小标宋简体" w:hAnsi="仿宋" w:eastAsia="方正小标宋简体"/>
          <w:sz w:val="44"/>
          <w:szCs w:val="44"/>
          <w:u w:val="none"/>
        </w:rPr>
        <w:t>5</w:t>
      </w:r>
      <w:r>
        <w:rPr>
          <w:rFonts w:hint="eastAsia" w:ascii="方正小标宋简体" w:hAnsi="仿宋" w:eastAsia="方正小标宋简体"/>
          <w:sz w:val="44"/>
          <w:szCs w:val="44"/>
          <w:u w:val="none"/>
        </w:rPr>
        <w:t>年</w:t>
      </w:r>
      <w:r>
        <w:rPr>
          <w:rFonts w:hint="eastAsia" w:ascii="方正小标宋简体" w:hAnsi="仿宋" w:eastAsia="方正小标宋简体"/>
          <w:color w:val="auto"/>
          <w:sz w:val="44"/>
          <w:szCs w:val="44"/>
          <w:u w:val="none"/>
          <w:lang w:eastAsia="zh-CN"/>
        </w:rPr>
        <w:t>巴青县融媒体中心</w:t>
      </w:r>
      <w:r>
        <w:rPr>
          <w:rFonts w:hint="eastAsia" w:ascii="方正小标宋简体" w:hAnsi="仿宋" w:eastAsia="方正小标宋简体"/>
          <w:sz w:val="44"/>
          <w:szCs w:val="44"/>
          <w:u w:val="none"/>
        </w:rPr>
        <w:t>部门预算</w:t>
      </w: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widowControl/>
        <w:spacing w:line="588" w:lineRule="exact"/>
        <w:ind w:firstLine="880" w:firstLineChars="200"/>
        <w:jc w:val="left"/>
        <w:rPr>
          <w:rFonts w:ascii="方正小标宋简体" w:hAnsi="仿宋" w:eastAsia="方正小标宋简体"/>
          <w:sz w:val="44"/>
          <w:szCs w:val="44"/>
          <w:u w:val="none"/>
        </w:rPr>
      </w:pPr>
      <w:r>
        <w:rPr>
          <w:rFonts w:ascii="方正小标宋简体" w:hAnsi="仿宋" w:eastAsia="方正小标宋简体"/>
          <w:sz w:val="44"/>
          <w:szCs w:val="44"/>
          <w:u w:val="none"/>
        </w:rPr>
        <w:br w:type="page"/>
      </w:r>
    </w:p>
    <w:p>
      <w:pPr>
        <w:spacing w:line="588" w:lineRule="exact"/>
        <w:jc w:val="center"/>
        <w:rPr>
          <w:rFonts w:ascii="方正小标宋简体" w:hAnsi="仿宋" w:eastAsia="方正小标宋简体"/>
          <w:sz w:val="44"/>
          <w:szCs w:val="44"/>
          <w:u w:val="none"/>
        </w:rPr>
      </w:pPr>
      <w:r>
        <w:rPr>
          <w:rFonts w:hint="eastAsia" w:ascii="方正小标宋简体" w:hAnsi="仿宋" w:eastAsia="方正小标宋简体"/>
          <w:sz w:val="44"/>
          <w:szCs w:val="44"/>
          <w:u w:val="none"/>
        </w:rPr>
        <w:t>目  录</w:t>
      </w:r>
    </w:p>
    <w:p>
      <w:pPr>
        <w:spacing w:line="588" w:lineRule="exact"/>
        <w:ind w:firstLine="640" w:firstLineChars="200"/>
        <w:rPr>
          <w:rFonts w:ascii="仿宋" w:hAnsi="仿宋" w:eastAsia="仿宋"/>
          <w:sz w:val="32"/>
          <w:szCs w:val="32"/>
          <w:u w:val="none"/>
        </w:rPr>
      </w:pPr>
    </w:p>
    <w:p>
      <w:pPr>
        <w:spacing w:line="588" w:lineRule="exact"/>
        <w:ind w:firstLine="643" w:firstLineChars="200"/>
        <w:jc w:val="left"/>
        <w:rPr>
          <w:rFonts w:ascii="方正小标宋简体" w:hAnsi="仿宋" w:eastAsia="方正小标宋简体"/>
          <w:b/>
          <w:sz w:val="32"/>
          <w:szCs w:val="32"/>
          <w:u w:val="none"/>
        </w:rPr>
      </w:pPr>
      <w:r>
        <w:rPr>
          <w:rFonts w:hint="eastAsia" w:ascii="方正小标宋简体" w:hAnsi="仿宋" w:eastAsia="方正小标宋简体"/>
          <w:b/>
          <w:sz w:val="32"/>
          <w:szCs w:val="32"/>
          <w:u w:val="none"/>
        </w:rPr>
        <w:t>第一部分</w:t>
      </w:r>
      <w:r>
        <w:rPr>
          <w:rFonts w:ascii="方正小标宋简体" w:hAnsi="仿宋" w:eastAsia="方正小标宋简体"/>
          <w:b/>
          <w:sz w:val="32"/>
          <w:szCs w:val="32"/>
          <w:u w:val="none"/>
        </w:rPr>
        <w:t xml:space="preserve"> </w:t>
      </w:r>
      <w:r>
        <w:rPr>
          <w:rFonts w:hint="eastAsia" w:ascii="方正小标宋简体" w:hAnsi="仿宋" w:eastAsia="方正小标宋简体"/>
          <w:b/>
          <w:sz w:val="32"/>
          <w:szCs w:val="32"/>
          <w:u w:val="none"/>
        </w:rPr>
        <w:t>XX部门（单位）概况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一、主要职责</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二、部门机构设置</w:t>
      </w:r>
    </w:p>
    <w:p>
      <w:pPr>
        <w:spacing w:line="588" w:lineRule="exact"/>
        <w:ind w:firstLine="640" w:firstLineChars="200"/>
        <w:rPr>
          <w:rFonts w:ascii="方正小标宋简体" w:hAnsi="仿宋" w:eastAsia="方正小标宋简体"/>
          <w:sz w:val="32"/>
          <w:szCs w:val="32"/>
          <w:u w:val="none"/>
        </w:rPr>
      </w:pPr>
      <w:r>
        <w:rPr>
          <w:rFonts w:ascii="方正小标宋简体" w:hAnsi="仿宋" w:eastAsia="方正小标宋简体"/>
          <w:sz w:val="32"/>
          <w:szCs w:val="32"/>
          <w:u w:val="none"/>
        </w:rPr>
        <w:t>三</w:t>
      </w:r>
      <w:r>
        <w:rPr>
          <w:rFonts w:hint="eastAsia" w:ascii="方正小标宋简体" w:hAnsi="仿宋" w:eastAsia="方正小标宋简体"/>
          <w:sz w:val="32"/>
          <w:szCs w:val="32"/>
          <w:u w:val="none"/>
        </w:rPr>
        <w:t>、</w:t>
      </w:r>
      <w:r>
        <w:rPr>
          <w:rFonts w:ascii="方正小标宋简体" w:hAnsi="仿宋" w:eastAsia="方正小标宋简体"/>
          <w:sz w:val="32"/>
          <w:szCs w:val="32"/>
          <w:u w:val="none"/>
        </w:rPr>
        <w:t>部门预算构成</w:t>
      </w:r>
    </w:p>
    <w:p>
      <w:pPr>
        <w:spacing w:line="588" w:lineRule="exact"/>
        <w:ind w:firstLine="643" w:firstLineChars="200"/>
        <w:jc w:val="left"/>
        <w:rPr>
          <w:rFonts w:ascii="方正小标宋简体" w:hAnsi="仿宋" w:eastAsia="方正小标宋简体"/>
          <w:b/>
          <w:sz w:val="32"/>
          <w:szCs w:val="32"/>
          <w:u w:val="none"/>
        </w:rPr>
      </w:pPr>
      <w:r>
        <w:rPr>
          <w:rFonts w:hint="eastAsia" w:ascii="方正小标宋简体" w:hAnsi="仿宋" w:eastAsia="方正小标宋简体"/>
          <w:b/>
          <w:sz w:val="32"/>
          <w:szCs w:val="32"/>
          <w:u w:val="none"/>
        </w:rPr>
        <w:t>第二部分</w:t>
      </w:r>
      <w:r>
        <w:rPr>
          <w:rFonts w:ascii="方正小标宋简体" w:hAnsi="仿宋" w:eastAsia="方正小标宋简体"/>
          <w:b/>
          <w:sz w:val="32"/>
          <w:szCs w:val="32"/>
          <w:u w:val="none"/>
        </w:rPr>
        <w:t xml:space="preserve"> 2025年部门预算表</w:t>
      </w:r>
    </w:p>
    <w:p>
      <w:pPr>
        <w:spacing w:line="588" w:lineRule="exact"/>
        <w:ind w:firstLine="643" w:firstLineChars="200"/>
        <w:jc w:val="left"/>
        <w:rPr>
          <w:rFonts w:ascii="方正小标宋简体" w:hAnsi="仿宋" w:eastAsia="方正小标宋简体"/>
          <w:b/>
          <w:sz w:val="32"/>
          <w:szCs w:val="32"/>
          <w:u w:val="none"/>
        </w:rPr>
      </w:pPr>
      <w:r>
        <w:rPr>
          <w:rFonts w:hint="eastAsia" w:ascii="方正小标宋简体" w:hAnsi="仿宋" w:eastAsia="方正小标宋简体"/>
          <w:b/>
          <w:sz w:val="32"/>
          <w:szCs w:val="32"/>
          <w:u w:val="none"/>
        </w:rPr>
        <w:t>第三部分</w:t>
      </w:r>
      <w:r>
        <w:rPr>
          <w:rFonts w:ascii="方正小标宋简体" w:hAnsi="仿宋" w:eastAsia="方正小标宋简体"/>
          <w:b/>
          <w:sz w:val="32"/>
          <w:szCs w:val="32"/>
          <w:u w:val="none"/>
        </w:rPr>
        <w:t xml:space="preserve"> 2025年部门预算情况说明</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一、部门预算收支增减变化情况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二、“三公”经费安排情况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三、机关运行经费安排情况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四、政府采购情况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五、国有资产占有使用情况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六、</w:t>
      </w:r>
      <w:r>
        <w:rPr>
          <w:rFonts w:ascii="黑体" w:hAnsi="黑体" w:eastAsia="黑体"/>
          <w:sz w:val="32"/>
          <w:szCs w:val="32"/>
          <w:u w:val="none"/>
        </w:rPr>
        <w:t>项目绩效目标情况</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七</w:t>
      </w:r>
      <w:r>
        <w:rPr>
          <w:rFonts w:ascii="黑体" w:hAnsi="黑体" w:eastAsia="黑体"/>
          <w:sz w:val="32"/>
          <w:szCs w:val="32"/>
          <w:u w:val="none"/>
        </w:rPr>
        <w:t>、</w:t>
      </w:r>
      <w:r>
        <w:rPr>
          <w:rFonts w:hint="eastAsia" w:ascii="黑体" w:hAnsi="黑体" w:eastAsia="黑体"/>
          <w:sz w:val="32"/>
          <w:szCs w:val="32"/>
          <w:u w:val="none"/>
        </w:rPr>
        <w:t>其他需要说明的</w:t>
      </w:r>
      <w:r>
        <w:rPr>
          <w:rFonts w:ascii="黑体" w:hAnsi="黑体" w:eastAsia="黑体"/>
          <w:sz w:val="32"/>
          <w:szCs w:val="32"/>
          <w:u w:val="none"/>
        </w:rPr>
        <w:t>情况</w:t>
      </w:r>
    </w:p>
    <w:p>
      <w:pPr>
        <w:spacing w:line="588" w:lineRule="exact"/>
        <w:ind w:firstLine="643" w:firstLineChars="200"/>
        <w:jc w:val="left"/>
        <w:rPr>
          <w:rFonts w:ascii="方正小标宋简体" w:hAnsi="仿宋" w:eastAsia="方正小标宋简体"/>
          <w:b/>
          <w:sz w:val="32"/>
          <w:szCs w:val="32"/>
          <w:u w:val="none"/>
        </w:rPr>
      </w:pPr>
      <w:r>
        <w:rPr>
          <w:rFonts w:hint="eastAsia" w:ascii="方正小标宋简体" w:hAnsi="仿宋" w:eastAsia="方正小标宋简体"/>
          <w:b/>
          <w:sz w:val="32"/>
          <w:szCs w:val="32"/>
          <w:u w:val="none"/>
        </w:rPr>
        <w:t>第四部分</w:t>
      </w:r>
      <w:r>
        <w:rPr>
          <w:rFonts w:ascii="方正小标宋简体" w:hAnsi="仿宋" w:eastAsia="方正小标宋简体"/>
          <w:b/>
          <w:sz w:val="32"/>
          <w:szCs w:val="32"/>
          <w:u w:val="none"/>
        </w:rPr>
        <w:t xml:space="preserve"> </w:t>
      </w:r>
      <w:r>
        <w:rPr>
          <w:rFonts w:hint="eastAsia" w:ascii="方正小标宋简体" w:hAnsi="仿宋" w:eastAsia="方正小标宋简体"/>
          <w:b/>
          <w:sz w:val="32"/>
          <w:szCs w:val="32"/>
          <w:u w:val="none"/>
        </w:rPr>
        <w:t>名词解释</w:t>
      </w: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widowControl/>
        <w:spacing w:line="588" w:lineRule="exact"/>
        <w:ind w:firstLine="640" w:firstLineChars="200"/>
        <w:jc w:val="left"/>
        <w:rPr>
          <w:rFonts w:ascii="方正小标宋简体" w:hAnsi="仿宋" w:eastAsia="方正小标宋简体"/>
          <w:sz w:val="40"/>
          <w:szCs w:val="32"/>
          <w:u w:val="none"/>
        </w:rPr>
      </w:pPr>
      <w:r>
        <w:rPr>
          <w:rFonts w:ascii="方正小标宋简体" w:hAnsi="仿宋" w:eastAsia="方正小标宋简体"/>
          <w:sz w:val="32"/>
          <w:szCs w:val="32"/>
          <w:u w:val="none"/>
        </w:rPr>
        <w:br w:type="page"/>
      </w:r>
    </w:p>
    <w:p>
      <w:pPr>
        <w:spacing w:line="588" w:lineRule="exact"/>
        <w:jc w:val="center"/>
        <w:rPr>
          <w:rFonts w:ascii="仿宋" w:hAnsi="仿宋" w:eastAsia="仿宋"/>
          <w:sz w:val="40"/>
          <w:szCs w:val="32"/>
          <w:u w:val="none"/>
        </w:rPr>
      </w:pPr>
      <w:r>
        <w:rPr>
          <w:rFonts w:hint="eastAsia" w:ascii="方正小标宋简体" w:hAnsi="仿宋" w:eastAsia="方正小标宋简体"/>
          <w:sz w:val="40"/>
          <w:szCs w:val="32"/>
          <w:u w:val="none"/>
        </w:rPr>
        <w:t>第一部分</w:t>
      </w:r>
      <w:r>
        <w:rPr>
          <w:rFonts w:ascii="方正小标宋简体" w:hAnsi="仿宋" w:eastAsia="方正小标宋简体"/>
          <w:sz w:val="40"/>
          <w:szCs w:val="32"/>
          <w:u w:val="none"/>
        </w:rPr>
        <w:t xml:space="preserve"> </w:t>
      </w:r>
      <w:r>
        <w:rPr>
          <w:rFonts w:hint="eastAsia" w:ascii="方正小标宋简体" w:hAnsi="仿宋" w:eastAsia="方正小标宋简体"/>
          <w:sz w:val="40"/>
          <w:szCs w:val="32"/>
          <w:u w:val="none"/>
          <w:lang w:eastAsia="zh-CN"/>
        </w:rPr>
        <w:t>巴青县融媒体中心</w:t>
      </w:r>
      <w:r>
        <w:rPr>
          <w:rFonts w:hint="eastAsia" w:ascii="方正小标宋简体" w:hAnsi="仿宋" w:eastAsia="方正小标宋简体"/>
          <w:sz w:val="40"/>
          <w:szCs w:val="32"/>
          <w:u w:val="none"/>
        </w:rPr>
        <w:t>概况</w:t>
      </w:r>
    </w:p>
    <w:p>
      <w:pPr>
        <w:spacing w:line="588" w:lineRule="exact"/>
        <w:ind w:firstLine="640" w:firstLineChars="200"/>
        <w:rPr>
          <w:rFonts w:ascii="黑体" w:hAnsi="黑体" w:eastAsia="黑体"/>
          <w:sz w:val="32"/>
          <w:szCs w:val="32"/>
          <w:u w:val="none"/>
        </w:rPr>
      </w:pP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一、主要职责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1.贯彻执行党的宣传方针政策，贯彻执行国家和自治区有关广播电视、网络视听节目服务管理的政策措施，加强对广播电视阵地的管理，把握正确的舆论导向和创作导向。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2.参与起草广播电视、网络视听节目服务管理的地方性法规、政府规章草案和行业标准，指导、推进全县广播电视领域的体制机制改革。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3.负责拟订全县广播电视领域事业发展政策和规划，组织实施公共服务重大公益工程和公益活动，指导、监督全县广播电视重点基础设施建设。扶助贫困地区广播电视建设和发展。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4.推动全县广播电视领域产业发展，制定发展规划、产业政策并组织实施。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 xml:space="preserve">5.负责对全县各类广播电视机构进行业务指导和行业监管，会同有关部门对网络视听节目服务机构进行监管。实施依法设定的行政许可，指导、监督广播电视和网络视听执法工作。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6.指导、监管全县电视剧行业发展、电视剧创作生产以及广播电视广告播放。监督管理、审查广播电视节目、网络视听节目和公共载体传播的视听节目的内容、质量。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7.指导、协调广播电视全县重大宣传活动，根据国家政策开展广播电视节目评价工作。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8.负责推进广播电视与新媒体新技术新业态融合发展，落实国家广电网与电信网、互联网三网融合政策措施。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9.拟订全县广播电视科技发展规划、政策并组织实施和监督检查，贯彻执行国家行业技术标准。负责监管广播电视节目传输覆盖、监测和安全播出，推进应急广播体系建设。负责本行业领域安全生产监管和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10.负责广播电视交流与合作事宜，协调推动广播电视领域“走出去”工作，负责广播电视节目的进口、收录和管理工作。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color w:val="auto"/>
          <w:sz w:val="32"/>
          <w:szCs w:val="32"/>
          <w:highlight w:val="none"/>
          <w:u w:val="none"/>
        </w:rPr>
        <w:t>11.指导全县广播电视、网络视听行业人才队伍建设。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方正仿宋简体" w:cs="Times New Roman"/>
          <w:color w:val="auto"/>
          <w:sz w:val="32"/>
          <w:szCs w:val="32"/>
          <w:highlight w:val="none"/>
          <w:u w:val="none"/>
        </w:rPr>
        <w:t>12.完成县委、县委网络安全和信息化委员会、县政府交办的其他任务。</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二、部门（单位）机构设置</w:t>
      </w:r>
      <w:r>
        <w:rPr>
          <w:rFonts w:ascii="黑体" w:hAnsi="黑体" w:eastAsia="黑体"/>
          <w:sz w:val="32"/>
          <w:szCs w:val="32"/>
          <w:u w:val="none"/>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sz w:val="32"/>
          <w:szCs w:val="32"/>
          <w:u w:val="none"/>
        </w:rPr>
      </w:pPr>
      <w:r>
        <w:rPr>
          <w:rFonts w:hint="default" w:ascii="Times New Roman" w:hAnsi="Times New Roman" w:eastAsia="方正仿宋简体" w:cs="Times New Roman"/>
          <w:sz w:val="32"/>
          <w:szCs w:val="32"/>
          <w:u w:val="none"/>
          <w:lang w:eastAsia="zh-CN"/>
        </w:rPr>
        <w:t>巴青</w:t>
      </w:r>
      <w:r>
        <w:rPr>
          <w:rFonts w:hint="default" w:ascii="Times New Roman" w:hAnsi="Times New Roman" w:eastAsia="方正仿宋简体" w:cs="Times New Roman"/>
          <w:sz w:val="32"/>
          <w:szCs w:val="32"/>
          <w:u w:val="none"/>
        </w:rPr>
        <w:t>县</w:t>
      </w:r>
      <w:r>
        <w:rPr>
          <w:rFonts w:hint="default" w:ascii="Times New Roman" w:hAnsi="Times New Roman" w:eastAsia="方正仿宋简体" w:cs="Times New Roman"/>
          <w:sz w:val="32"/>
          <w:szCs w:val="32"/>
          <w:u w:val="none"/>
          <w:lang w:eastAsia="zh-CN"/>
        </w:rPr>
        <w:t>融媒体</w:t>
      </w:r>
      <w:r>
        <w:rPr>
          <w:rFonts w:hint="default" w:ascii="Times New Roman" w:hAnsi="Times New Roman" w:eastAsia="方正仿宋简体" w:cs="Times New Roman"/>
          <w:sz w:val="32"/>
          <w:szCs w:val="32"/>
          <w:u w:val="none"/>
        </w:rPr>
        <w:t>中心</w:t>
      </w:r>
      <w:r>
        <w:rPr>
          <w:rFonts w:hint="eastAsia" w:ascii="Times New Roman" w:hAnsi="Times New Roman" w:eastAsia="方正仿宋简体" w:cs="Times New Roman"/>
          <w:sz w:val="32"/>
          <w:szCs w:val="32"/>
          <w:u w:val="none"/>
          <w:lang w:val="en-US" w:eastAsia="zh-CN"/>
        </w:rPr>
        <w:t>于202</w:t>
      </w:r>
      <w:r>
        <w:rPr>
          <w:rFonts w:hint="eastAsia" w:eastAsia="方正仿宋简体" w:cs="Times New Roman"/>
          <w:sz w:val="32"/>
          <w:szCs w:val="32"/>
          <w:u w:val="none"/>
          <w:lang w:val="en-US" w:eastAsia="zh-CN"/>
        </w:rPr>
        <w:t>2</w:t>
      </w:r>
      <w:r>
        <w:rPr>
          <w:rFonts w:hint="eastAsia" w:ascii="Times New Roman" w:hAnsi="Times New Roman" w:eastAsia="方正仿宋简体" w:cs="Times New Roman"/>
          <w:sz w:val="32"/>
          <w:szCs w:val="32"/>
          <w:u w:val="none"/>
          <w:lang w:val="en-US" w:eastAsia="zh-CN"/>
        </w:rPr>
        <w:t>年5月15日正式挂牌成立，融媒体中心</w:t>
      </w:r>
      <w:r>
        <w:rPr>
          <w:rFonts w:hint="default" w:ascii="Times New Roman" w:hAnsi="Times New Roman" w:eastAsia="方正仿宋简体" w:cs="Times New Roman"/>
          <w:sz w:val="32"/>
          <w:szCs w:val="32"/>
          <w:u w:val="none"/>
        </w:rPr>
        <w:t>从组织架构融合入手</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将广播电视台、微信公众号、网信巴青、巴青融媒的职能、人员、设施统一整合到融煤体中心</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下设办公室、信息采集部、统筹策划部、外宣部（广告）、</w:t>
      </w:r>
      <w:r>
        <w:rPr>
          <w:rFonts w:hint="eastAsia" w:ascii="Times New Roman" w:hAnsi="Times New Roman" w:eastAsia="方正仿宋简体" w:cs="Times New Roman"/>
          <w:sz w:val="32"/>
          <w:szCs w:val="32"/>
          <w:u w:val="none"/>
          <w:lang w:val="en-US" w:eastAsia="zh-CN"/>
        </w:rPr>
        <w:t>编辑</w:t>
      </w:r>
      <w:r>
        <w:rPr>
          <w:rFonts w:hint="default" w:ascii="Times New Roman" w:hAnsi="Times New Roman" w:eastAsia="方正仿宋简体" w:cs="Times New Roman"/>
          <w:sz w:val="32"/>
          <w:szCs w:val="32"/>
          <w:u w:val="none"/>
        </w:rPr>
        <w:t>部等5个科室</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把采编人员从条块分割转为平台融合</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从而有效解决了信息资源和采编人员重复</w:t>
      </w:r>
      <w:r>
        <w:rPr>
          <w:rFonts w:hint="eastAsia" w:ascii="Times New Roman" w:hAnsi="Times New Roman" w:eastAsia="方正仿宋简体" w:cs="Times New Roman"/>
          <w:sz w:val="32"/>
          <w:szCs w:val="32"/>
          <w:u w:val="none"/>
          <w:lang w:eastAsia="zh-CN"/>
        </w:rPr>
        <w:t>利用</w:t>
      </w:r>
      <w:r>
        <w:rPr>
          <w:rFonts w:hint="default" w:ascii="Times New Roman" w:hAnsi="Times New Roman" w:eastAsia="方正仿宋简体" w:cs="Times New Roman"/>
          <w:sz w:val="32"/>
          <w:szCs w:val="32"/>
          <w:u w:val="none"/>
        </w:rPr>
        <w:t>等问题。</w:t>
      </w:r>
      <w:r>
        <w:rPr>
          <w:rFonts w:hint="eastAsia" w:ascii="Times New Roman" w:hAnsi="Times New Roman" w:eastAsia="方正仿宋简体" w:cs="Times New Roman"/>
          <w:sz w:val="32"/>
          <w:szCs w:val="32"/>
          <w:u w:val="none"/>
          <w:lang w:val="en-US" w:eastAsia="zh-CN"/>
        </w:rPr>
        <w:t>中心</w:t>
      </w:r>
      <w:r>
        <w:rPr>
          <w:rFonts w:hint="default" w:ascii="Times New Roman" w:hAnsi="Times New Roman" w:eastAsia="方正仿宋简体" w:cs="Times New Roman"/>
          <w:sz w:val="32"/>
          <w:szCs w:val="32"/>
          <w:u w:val="none"/>
        </w:rPr>
        <w:t>编制</w:t>
      </w:r>
      <w:r>
        <w:rPr>
          <w:rFonts w:hint="eastAsia" w:ascii="Times New Roman" w:hAnsi="Times New Roman" w:eastAsia="方正仿宋简体" w:cs="Times New Roman"/>
          <w:sz w:val="32"/>
          <w:szCs w:val="32"/>
          <w:u w:val="none"/>
          <w:lang w:val="en-US" w:eastAsia="zh-CN"/>
        </w:rPr>
        <w:t>1</w:t>
      </w:r>
      <w:r>
        <w:rPr>
          <w:rFonts w:hint="default" w:ascii="Times New Roman" w:hAnsi="Times New Roman" w:eastAsia="方正仿宋简体" w:cs="Times New Roman"/>
          <w:sz w:val="32"/>
          <w:szCs w:val="32"/>
          <w:u w:val="none"/>
          <w:lang w:val="en-US" w:eastAsia="zh-CN"/>
        </w:rPr>
        <w:t>4</w:t>
      </w:r>
      <w:r>
        <w:rPr>
          <w:rFonts w:hint="default" w:ascii="Times New Roman" w:hAnsi="Times New Roman" w:eastAsia="方正仿宋简体" w:cs="Times New Roman"/>
          <w:sz w:val="32"/>
          <w:szCs w:val="32"/>
          <w:u w:val="none"/>
        </w:rPr>
        <w:t>人</w:t>
      </w:r>
      <w:r>
        <w:rPr>
          <w:rFonts w:hint="eastAsia" w:ascii="Times New Roman" w:hAnsi="Times New Roman" w:eastAsia="方正仿宋简体" w:cs="Times New Roman"/>
          <w:sz w:val="32"/>
          <w:szCs w:val="32"/>
          <w:u w:val="none"/>
          <w:lang w:eastAsia="zh-CN"/>
        </w:rPr>
        <w:t>，从事人员</w:t>
      </w:r>
      <w:r>
        <w:rPr>
          <w:rFonts w:hint="eastAsia" w:ascii="Times New Roman" w:hAnsi="Times New Roman" w:eastAsia="方正仿宋简体" w:cs="Times New Roman"/>
          <w:sz w:val="32"/>
          <w:szCs w:val="32"/>
          <w:u w:val="none"/>
          <w:lang w:val="en-US" w:eastAsia="zh-CN"/>
        </w:rPr>
        <w:t>23人</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其中</w:t>
      </w:r>
      <w:r>
        <w:rPr>
          <w:rFonts w:hint="default" w:ascii="Times New Roman" w:hAnsi="Times New Roman" w:eastAsia="方正仿宋简体" w:cs="Times New Roman"/>
          <w:sz w:val="32"/>
          <w:szCs w:val="32"/>
          <w:u w:val="none"/>
        </w:rPr>
        <w:t>中心主任1人、副主任</w:t>
      </w:r>
      <w:r>
        <w:rPr>
          <w:rFonts w:hint="default" w:ascii="Times New Roman" w:hAnsi="Times New Roman" w:eastAsia="方正仿宋简体" w:cs="Times New Roman"/>
          <w:sz w:val="32"/>
          <w:szCs w:val="32"/>
          <w:u w:val="none"/>
          <w:lang w:val="en-US" w:eastAsia="zh-CN"/>
        </w:rPr>
        <w:t>2</w:t>
      </w:r>
      <w:r>
        <w:rPr>
          <w:rFonts w:hint="default" w:ascii="Times New Roman" w:hAnsi="Times New Roman" w:eastAsia="方正仿宋简体" w:cs="Times New Roman"/>
          <w:sz w:val="32"/>
          <w:szCs w:val="32"/>
          <w:u w:val="none"/>
        </w:rPr>
        <w:t>人</w:t>
      </w:r>
      <w:r>
        <w:rPr>
          <w:rFonts w:hint="eastAsia" w:ascii="Times New Roman" w:hAnsi="Times New Roman" w:eastAsia="方正仿宋简体" w:cs="Times New Roman"/>
          <w:sz w:val="32"/>
          <w:szCs w:val="32"/>
          <w:u w:val="none"/>
          <w:lang w:eastAsia="zh-CN"/>
        </w:rPr>
        <w:t>。</w:t>
      </w:r>
    </w:p>
    <w:p>
      <w:pPr>
        <w:spacing w:line="588" w:lineRule="exact"/>
        <w:ind w:firstLine="640" w:firstLineChars="200"/>
        <w:rPr>
          <w:rFonts w:ascii="方正小标宋简体" w:hAnsi="仿宋" w:eastAsia="方正小标宋简体"/>
          <w:sz w:val="32"/>
          <w:szCs w:val="32"/>
          <w:u w:val="none"/>
        </w:rPr>
      </w:pPr>
      <w:r>
        <w:rPr>
          <w:rFonts w:ascii="方正小标宋简体" w:hAnsi="仿宋" w:eastAsia="方正小标宋简体"/>
          <w:sz w:val="32"/>
          <w:szCs w:val="32"/>
          <w:u w:val="none"/>
        </w:rPr>
        <w:t>三</w:t>
      </w:r>
      <w:r>
        <w:rPr>
          <w:rFonts w:hint="eastAsia" w:ascii="方正小标宋简体" w:hAnsi="仿宋" w:eastAsia="方正小标宋简体"/>
          <w:sz w:val="32"/>
          <w:szCs w:val="32"/>
          <w:u w:val="none"/>
        </w:rPr>
        <w:t>、</w:t>
      </w:r>
      <w:r>
        <w:rPr>
          <w:rFonts w:ascii="方正小标宋简体" w:hAnsi="仿宋" w:eastAsia="方正小标宋简体"/>
          <w:sz w:val="32"/>
          <w:szCs w:val="32"/>
          <w:u w:val="none"/>
        </w:rPr>
        <w:t>部门预算构成</w:t>
      </w:r>
    </w:p>
    <w:p>
      <w:pPr>
        <w:spacing w:line="588" w:lineRule="exact"/>
        <w:ind w:firstLine="640" w:firstLineChars="200"/>
        <w:jc w:val="left"/>
        <w:rPr>
          <w:rFonts w:hint="eastAsia" w:ascii="方正小标宋简体" w:hAnsi="仿宋" w:eastAsia="方正小标宋简体"/>
          <w:sz w:val="40"/>
          <w:szCs w:val="32"/>
          <w:u w:val="none"/>
        </w:rPr>
      </w:pPr>
      <w:r>
        <w:rPr>
          <w:rFonts w:ascii="仿宋" w:hAnsi="仿宋" w:eastAsia="仿宋"/>
          <w:sz w:val="32"/>
          <w:szCs w:val="32"/>
          <w:u w:val="none"/>
        </w:rPr>
        <w:t>本单位无下属单位</w:t>
      </w:r>
      <w:r>
        <w:rPr>
          <w:rFonts w:hint="eastAsia" w:ascii="仿宋" w:hAnsi="仿宋" w:eastAsia="仿宋"/>
          <w:sz w:val="32"/>
          <w:szCs w:val="32"/>
          <w:u w:val="none"/>
        </w:rPr>
        <w:t>，</w:t>
      </w:r>
      <w:r>
        <w:rPr>
          <w:rFonts w:ascii="仿宋" w:hAnsi="仿宋" w:eastAsia="仿宋"/>
          <w:sz w:val="32"/>
          <w:szCs w:val="32"/>
          <w:u w:val="none"/>
        </w:rPr>
        <w:t>部门预算为</w:t>
      </w:r>
      <w:r>
        <w:rPr>
          <w:rFonts w:hint="eastAsia" w:ascii="仿宋" w:hAnsi="仿宋" w:eastAsia="仿宋"/>
          <w:sz w:val="32"/>
          <w:szCs w:val="32"/>
          <w:u w:val="none"/>
          <w:lang w:eastAsia="zh-CN"/>
        </w:rPr>
        <w:t>巴青县融媒体中心</w:t>
      </w:r>
      <w:r>
        <w:rPr>
          <w:rFonts w:hint="eastAsia" w:ascii="仿宋" w:hAnsi="仿宋" w:eastAsia="仿宋"/>
          <w:sz w:val="32"/>
          <w:szCs w:val="32"/>
          <w:u w:val="none"/>
        </w:rPr>
        <w:t>部门预算。</w:t>
      </w:r>
    </w:p>
    <w:p>
      <w:pPr>
        <w:spacing w:line="588" w:lineRule="exact"/>
        <w:jc w:val="center"/>
        <w:rPr>
          <w:rFonts w:ascii="方正小标宋简体" w:hAnsi="仿宋" w:eastAsia="方正小标宋简体"/>
          <w:sz w:val="40"/>
          <w:szCs w:val="32"/>
          <w:u w:val="none"/>
        </w:rPr>
      </w:pPr>
      <w:r>
        <w:rPr>
          <w:rFonts w:hint="eastAsia" w:ascii="方正小标宋简体" w:hAnsi="仿宋" w:eastAsia="方正小标宋简体"/>
          <w:sz w:val="40"/>
          <w:szCs w:val="32"/>
          <w:u w:val="none"/>
        </w:rPr>
        <w:t>第二部分</w:t>
      </w:r>
      <w:r>
        <w:rPr>
          <w:rFonts w:ascii="方正小标宋简体" w:hAnsi="仿宋" w:eastAsia="方正小标宋简体"/>
          <w:sz w:val="40"/>
          <w:szCs w:val="32"/>
          <w:u w:val="none"/>
        </w:rPr>
        <w:t xml:space="preserve"> </w:t>
      </w:r>
      <w:r>
        <w:rPr>
          <w:rFonts w:hint="eastAsia" w:ascii="方正小标宋简体" w:hAnsi="仿宋" w:eastAsia="方正小标宋简体"/>
          <w:sz w:val="40"/>
          <w:szCs w:val="32"/>
          <w:u w:val="none"/>
        </w:rPr>
        <w:t>2025年部门预算表</w:t>
      </w:r>
    </w:p>
    <w:p>
      <w:pPr>
        <w:spacing w:line="588" w:lineRule="exact"/>
        <w:ind w:firstLine="640" w:firstLineChars="200"/>
        <w:rPr>
          <w:rFonts w:ascii="方正小标宋简体" w:hAnsi="仿宋" w:eastAsia="方正小标宋简体"/>
          <w:sz w:val="32"/>
          <w:szCs w:val="32"/>
          <w:u w:val="none"/>
        </w:rPr>
      </w:pPr>
    </w:p>
    <w:p>
      <w:pPr>
        <w:spacing w:line="588" w:lineRule="exact"/>
        <w:ind w:firstLine="640" w:firstLineChars="200"/>
        <w:rPr>
          <w:rFonts w:ascii="方正小标宋简体" w:hAnsi="仿宋" w:eastAsia="方正小标宋简体"/>
          <w:sz w:val="32"/>
          <w:szCs w:val="32"/>
          <w:u w:val="none"/>
        </w:rPr>
      </w:pPr>
      <w:r>
        <w:rPr>
          <w:rFonts w:hint="eastAsia" w:ascii="方正小标宋简体" w:hAnsi="仿宋" w:eastAsia="方正小标宋简体"/>
          <w:sz w:val="32"/>
          <w:szCs w:val="32"/>
          <w:u w:val="none"/>
        </w:rPr>
        <w:t>表格详见附件。</w:t>
      </w: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rPr>
          <w:rFonts w:ascii="仿宋" w:hAnsi="仿宋" w:eastAsia="仿宋"/>
          <w:sz w:val="32"/>
          <w:szCs w:val="32"/>
          <w:u w:val="none"/>
        </w:rPr>
      </w:pPr>
    </w:p>
    <w:p>
      <w:pPr>
        <w:spacing w:line="588" w:lineRule="exact"/>
        <w:ind w:firstLine="640" w:firstLineChars="200"/>
        <w:jc w:val="center"/>
        <w:rPr>
          <w:rFonts w:ascii="黑体" w:hAnsi="黑体" w:eastAsia="黑体"/>
          <w:sz w:val="32"/>
          <w:szCs w:val="32"/>
          <w:u w:val="none"/>
        </w:rPr>
      </w:pPr>
    </w:p>
    <w:p>
      <w:pPr>
        <w:spacing w:line="588" w:lineRule="exact"/>
        <w:ind w:firstLine="640" w:firstLineChars="200"/>
        <w:jc w:val="center"/>
        <w:rPr>
          <w:rFonts w:ascii="黑体" w:hAnsi="黑体" w:eastAsia="黑体"/>
          <w:sz w:val="32"/>
          <w:szCs w:val="32"/>
          <w:u w:val="none"/>
        </w:rPr>
      </w:pPr>
    </w:p>
    <w:p>
      <w:pPr>
        <w:spacing w:line="588" w:lineRule="exact"/>
        <w:jc w:val="center"/>
        <w:rPr>
          <w:rFonts w:hint="eastAsia" w:ascii="方正小标宋简体" w:hAnsi="仿宋" w:eastAsia="方正小标宋简体"/>
          <w:sz w:val="40"/>
          <w:szCs w:val="32"/>
          <w:u w:val="none"/>
        </w:rPr>
      </w:pPr>
    </w:p>
    <w:p>
      <w:pPr>
        <w:spacing w:line="588" w:lineRule="exact"/>
        <w:jc w:val="both"/>
        <w:rPr>
          <w:rFonts w:hint="eastAsia" w:ascii="方正小标宋简体" w:hAnsi="仿宋" w:eastAsia="方正小标宋简体"/>
          <w:sz w:val="40"/>
          <w:szCs w:val="32"/>
          <w:u w:val="none"/>
        </w:rPr>
      </w:pPr>
    </w:p>
    <w:p>
      <w:pPr>
        <w:spacing w:line="588" w:lineRule="exact"/>
        <w:jc w:val="center"/>
        <w:rPr>
          <w:rFonts w:hint="eastAsia" w:ascii="方正小标宋简体" w:hAnsi="仿宋" w:eastAsia="方正小标宋简体"/>
          <w:sz w:val="40"/>
          <w:szCs w:val="32"/>
          <w:u w:val="none"/>
        </w:rPr>
      </w:pPr>
    </w:p>
    <w:p>
      <w:pPr>
        <w:spacing w:line="588" w:lineRule="exact"/>
        <w:jc w:val="center"/>
        <w:rPr>
          <w:rFonts w:hint="eastAsia" w:ascii="方正小标宋简体" w:hAnsi="仿宋" w:eastAsia="方正小标宋简体"/>
          <w:sz w:val="40"/>
          <w:szCs w:val="32"/>
          <w:u w:val="none"/>
        </w:rPr>
      </w:pPr>
    </w:p>
    <w:p>
      <w:pPr>
        <w:spacing w:line="588" w:lineRule="exact"/>
        <w:jc w:val="center"/>
        <w:rPr>
          <w:rFonts w:hint="eastAsia" w:ascii="方正小标宋简体" w:hAnsi="仿宋" w:eastAsia="方正小标宋简体"/>
          <w:sz w:val="40"/>
          <w:szCs w:val="32"/>
          <w:u w:val="none"/>
        </w:rPr>
      </w:pPr>
    </w:p>
    <w:p>
      <w:pPr>
        <w:spacing w:line="588" w:lineRule="exact"/>
        <w:jc w:val="center"/>
        <w:rPr>
          <w:rFonts w:hint="eastAsia" w:ascii="方正小标宋简体" w:hAnsi="仿宋" w:eastAsia="方正小标宋简体"/>
          <w:sz w:val="40"/>
          <w:szCs w:val="32"/>
          <w:u w:val="none"/>
        </w:rPr>
      </w:pPr>
    </w:p>
    <w:p>
      <w:pPr>
        <w:spacing w:line="588" w:lineRule="exact"/>
        <w:jc w:val="center"/>
        <w:rPr>
          <w:rFonts w:ascii="黑体" w:hAnsi="黑体" w:eastAsia="黑体"/>
          <w:sz w:val="40"/>
          <w:szCs w:val="32"/>
          <w:u w:val="none"/>
        </w:rPr>
      </w:pPr>
      <w:r>
        <w:rPr>
          <w:rFonts w:hint="eastAsia" w:ascii="方正小标宋简体" w:hAnsi="仿宋" w:eastAsia="方正小标宋简体"/>
          <w:sz w:val="40"/>
          <w:szCs w:val="32"/>
          <w:u w:val="none"/>
        </w:rPr>
        <w:t>第三部分</w:t>
      </w:r>
      <w:r>
        <w:rPr>
          <w:rFonts w:ascii="方正小标宋简体" w:hAnsi="仿宋" w:eastAsia="方正小标宋简体"/>
          <w:sz w:val="40"/>
          <w:szCs w:val="32"/>
          <w:u w:val="none"/>
        </w:rPr>
        <w:t xml:space="preserve"> </w:t>
      </w:r>
      <w:r>
        <w:rPr>
          <w:rFonts w:hint="eastAsia" w:ascii="方正小标宋简体" w:hAnsi="仿宋" w:eastAsia="方正小标宋简体"/>
          <w:sz w:val="40"/>
          <w:szCs w:val="32"/>
          <w:u w:val="none"/>
        </w:rPr>
        <w:t>2025年部门预算情况说明</w:t>
      </w:r>
    </w:p>
    <w:p>
      <w:pPr>
        <w:spacing w:line="588" w:lineRule="exact"/>
        <w:ind w:firstLine="640" w:firstLineChars="200"/>
        <w:rPr>
          <w:rFonts w:ascii="黑体" w:hAnsi="黑体" w:eastAsia="黑体"/>
          <w:sz w:val="32"/>
          <w:szCs w:val="32"/>
          <w:u w:val="none"/>
        </w:rPr>
      </w:pPr>
    </w:p>
    <w:p>
      <w:pPr>
        <w:spacing w:line="588" w:lineRule="exact"/>
        <w:ind w:firstLine="640" w:firstLineChars="200"/>
        <w:rPr>
          <w:rFonts w:ascii="黑体" w:hAnsi="黑体" w:eastAsia="黑体"/>
          <w:sz w:val="32"/>
          <w:szCs w:val="32"/>
          <w:u w:val="none"/>
        </w:rPr>
      </w:pPr>
      <w:r>
        <w:rPr>
          <w:rFonts w:ascii="黑体" w:hAnsi="黑体" w:eastAsia="黑体"/>
          <w:sz w:val="32"/>
          <w:szCs w:val="32"/>
          <w:u w:val="none"/>
        </w:rPr>
        <w:t>一</w:t>
      </w:r>
      <w:r>
        <w:rPr>
          <w:rFonts w:hint="eastAsia" w:ascii="黑体" w:hAnsi="黑体" w:eastAsia="黑体"/>
          <w:sz w:val="32"/>
          <w:szCs w:val="32"/>
          <w:u w:val="none"/>
        </w:rPr>
        <w:t>、</w:t>
      </w:r>
      <w:r>
        <w:rPr>
          <w:rFonts w:ascii="黑体" w:hAnsi="黑体" w:eastAsia="黑体"/>
          <w:sz w:val="32"/>
          <w:szCs w:val="32"/>
          <w:u w:val="none"/>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u w:val="none"/>
        </w:rPr>
        <w:t>例如</w:t>
      </w:r>
      <w:r>
        <w:rPr>
          <w:rFonts w:hint="eastAsia" w:ascii="仿宋" w:hAnsi="仿宋" w:eastAsia="仿宋"/>
          <w:sz w:val="32"/>
          <w:szCs w:val="32"/>
          <w:u w:val="none"/>
        </w:rPr>
        <w:t>：2025年本部门收入预算</w:t>
      </w:r>
      <w:r>
        <w:rPr>
          <w:rFonts w:hint="eastAsia" w:ascii="仿宋" w:hAnsi="仿宋" w:eastAsia="仿宋"/>
          <w:sz w:val="32"/>
          <w:szCs w:val="32"/>
          <w:u w:val="none"/>
          <w:lang w:val="en-US" w:eastAsia="zh-CN"/>
        </w:rPr>
        <w:t>893.52</w:t>
      </w:r>
      <w:r>
        <w:rPr>
          <w:rFonts w:hint="eastAsia" w:ascii="仿宋" w:hAnsi="仿宋" w:eastAsia="仿宋"/>
          <w:sz w:val="32"/>
          <w:szCs w:val="32"/>
          <w:u w:val="none"/>
        </w:rPr>
        <w:t>万元，比上年增加</w:t>
      </w:r>
      <w:r>
        <w:rPr>
          <w:rFonts w:hint="eastAsia" w:ascii="仿宋" w:hAnsi="仿宋" w:eastAsia="仿宋"/>
          <w:sz w:val="32"/>
          <w:szCs w:val="32"/>
          <w:u w:val="none"/>
          <w:lang w:val="en-US" w:eastAsia="zh-CN"/>
        </w:rPr>
        <w:t>2.29</w:t>
      </w:r>
      <w:r>
        <w:rPr>
          <w:rFonts w:hint="eastAsia" w:ascii="仿宋" w:hAnsi="仿宋" w:eastAsia="仿宋"/>
          <w:sz w:val="32"/>
          <w:szCs w:val="32"/>
          <w:u w:val="none"/>
        </w:rPr>
        <w:t>万元，增长</w:t>
      </w:r>
      <w:r>
        <w:rPr>
          <w:rFonts w:hint="eastAsia" w:ascii="仿宋" w:hAnsi="仿宋" w:eastAsia="仿宋"/>
          <w:sz w:val="32"/>
          <w:szCs w:val="32"/>
          <w:u w:val="none"/>
          <w:lang w:val="en-US" w:eastAsia="zh-CN"/>
        </w:rPr>
        <w:t>0.25</w:t>
      </w:r>
      <w:r>
        <w:rPr>
          <w:rFonts w:hint="eastAsia" w:ascii="仿宋" w:hAnsi="仿宋" w:eastAsia="仿宋"/>
          <w:sz w:val="32"/>
          <w:szCs w:val="32"/>
          <w:u w:val="none"/>
        </w:rPr>
        <w:t>%，主要原因是：</w:t>
      </w:r>
      <w:r>
        <w:rPr>
          <w:rFonts w:hint="eastAsia" w:ascii="仿宋" w:hAnsi="仿宋" w:eastAsia="仿宋"/>
          <w:sz w:val="32"/>
          <w:szCs w:val="32"/>
          <w:u w:val="none"/>
          <w:lang w:eastAsia="zh-CN"/>
        </w:rPr>
        <w:t>新增一个项目</w:t>
      </w:r>
      <w:r>
        <w:rPr>
          <w:rFonts w:hint="eastAsia" w:ascii="仿宋" w:hAnsi="仿宋" w:eastAsia="仿宋"/>
          <w:sz w:val="32"/>
          <w:szCs w:val="32"/>
          <w:u w:val="none"/>
        </w:rPr>
        <w:t>；</w:t>
      </w:r>
      <w:r>
        <w:rPr>
          <w:rFonts w:hint="eastAsia" w:ascii="仿宋" w:hAnsi="仿宋" w:eastAsia="仿宋"/>
          <w:sz w:val="32"/>
          <w:szCs w:val="32"/>
        </w:rPr>
        <w:t>支出预算</w:t>
      </w:r>
      <w:r>
        <w:rPr>
          <w:rFonts w:hint="eastAsia" w:ascii="仿宋" w:hAnsi="仿宋" w:eastAsia="仿宋"/>
          <w:sz w:val="32"/>
          <w:szCs w:val="32"/>
          <w:u w:val="none"/>
          <w:lang w:val="en-US" w:eastAsia="zh-CN"/>
        </w:rPr>
        <w:t>893.52</w:t>
      </w:r>
      <w:r>
        <w:rPr>
          <w:rFonts w:hint="eastAsia" w:ascii="仿宋" w:hAnsi="仿宋" w:eastAsia="仿宋"/>
          <w:sz w:val="32"/>
          <w:szCs w:val="32"/>
        </w:rPr>
        <w:t>万元，比上年增加</w:t>
      </w:r>
      <w:r>
        <w:rPr>
          <w:rFonts w:hint="eastAsia" w:ascii="仿宋" w:hAnsi="仿宋" w:eastAsia="仿宋"/>
          <w:sz w:val="32"/>
          <w:szCs w:val="32"/>
          <w:lang w:val="en-US" w:eastAsia="zh-CN"/>
        </w:rPr>
        <w:t>2.29</w:t>
      </w:r>
      <w:r>
        <w:rPr>
          <w:rFonts w:hint="eastAsia" w:ascii="仿宋" w:hAnsi="仿宋" w:eastAsia="仿宋"/>
          <w:sz w:val="32"/>
          <w:szCs w:val="32"/>
        </w:rPr>
        <w:t>万元，增长</w:t>
      </w:r>
      <w:r>
        <w:rPr>
          <w:rFonts w:hint="eastAsia" w:ascii="仿宋" w:hAnsi="仿宋" w:eastAsia="仿宋"/>
          <w:sz w:val="32"/>
          <w:szCs w:val="32"/>
          <w:lang w:val="en-US" w:eastAsia="zh-CN"/>
        </w:rPr>
        <w:t>0.25</w:t>
      </w:r>
      <w:r>
        <w:rPr>
          <w:rFonts w:hint="eastAsia" w:ascii="仿宋" w:hAnsi="仿宋" w:eastAsia="仿宋"/>
          <w:sz w:val="32"/>
          <w:szCs w:val="32"/>
        </w:rPr>
        <w:t>%。</w:t>
      </w:r>
    </w:p>
    <w:p>
      <w:pPr>
        <w:spacing w:line="588" w:lineRule="exact"/>
        <w:ind w:firstLine="640" w:firstLineChars="200"/>
        <w:rPr>
          <w:rFonts w:ascii="黑体" w:hAnsi="黑体" w:eastAsia="黑体"/>
          <w:sz w:val="32"/>
          <w:szCs w:val="32"/>
          <w:u w:val="none"/>
        </w:rPr>
      </w:pPr>
      <w:r>
        <w:rPr>
          <w:rFonts w:ascii="黑体" w:hAnsi="黑体" w:eastAsia="黑体"/>
          <w:sz w:val="32"/>
          <w:szCs w:val="32"/>
          <w:u w:val="none"/>
        </w:rPr>
        <w:t>二</w:t>
      </w:r>
      <w:r>
        <w:rPr>
          <w:rFonts w:hint="eastAsia" w:ascii="黑体" w:hAnsi="黑体" w:eastAsia="黑体"/>
          <w:sz w:val="32"/>
          <w:szCs w:val="32"/>
          <w:u w:val="none"/>
        </w:rPr>
        <w:t>、“</w:t>
      </w:r>
      <w:r>
        <w:rPr>
          <w:rFonts w:ascii="黑体" w:hAnsi="黑体" w:eastAsia="黑体"/>
          <w:sz w:val="32"/>
          <w:szCs w:val="32"/>
          <w:u w:val="none"/>
        </w:rPr>
        <w:t>三公</w:t>
      </w:r>
      <w:r>
        <w:rPr>
          <w:rFonts w:hint="eastAsia" w:ascii="黑体" w:hAnsi="黑体" w:eastAsia="黑体"/>
          <w:sz w:val="32"/>
          <w:szCs w:val="32"/>
          <w:u w:val="none"/>
        </w:rPr>
        <w:t>”</w:t>
      </w:r>
      <w:r>
        <w:rPr>
          <w:rFonts w:ascii="黑体" w:hAnsi="黑体" w:eastAsia="黑体"/>
          <w:sz w:val="32"/>
          <w:szCs w:val="32"/>
          <w:u w:val="none"/>
        </w:rPr>
        <w:t>经费安排情况</w:t>
      </w:r>
    </w:p>
    <w:p>
      <w:pPr>
        <w:spacing w:line="588" w:lineRule="exact"/>
        <w:ind w:firstLine="640" w:firstLineChars="200"/>
        <w:rPr>
          <w:rFonts w:ascii="仿宋" w:hAnsi="仿宋" w:eastAsia="仿宋"/>
          <w:sz w:val="32"/>
          <w:szCs w:val="32"/>
          <w:u w:val="none"/>
        </w:rPr>
      </w:pPr>
      <w:r>
        <w:rPr>
          <w:rFonts w:hint="eastAsia" w:ascii="仿宋" w:hAnsi="仿宋" w:eastAsia="仿宋"/>
          <w:sz w:val="32"/>
          <w:szCs w:val="32"/>
          <w:u w:val="none"/>
        </w:rPr>
        <w:t>2025年本部门财政拨款安排“三公”经费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三、机关运行经费安排情况</w:t>
      </w:r>
    </w:p>
    <w:p>
      <w:pPr>
        <w:spacing w:line="588" w:lineRule="exact"/>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2024年，本部门机关运行经费安排</w:t>
      </w:r>
      <w:r>
        <w:rPr>
          <w:rFonts w:hint="eastAsia" w:ascii="仿宋" w:hAnsi="仿宋" w:eastAsia="仿宋"/>
          <w:sz w:val="32"/>
          <w:szCs w:val="32"/>
          <w:u w:val="none"/>
          <w:lang w:val="en-US" w:eastAsia="zh-CN"/>
        </w:rPr>
        <w:t>46</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比上</w:t>
      </w:r>
      <w:r>
        <w:rPr>
          <w:rFonts w:hint="eastAsia" w:ascii="仿宋" w:hAnsi="仿宋" w:eastAsia="仿宋"/>
          <w:sz w:val="32"/>
          <w:szCs w:val="32"/>
          <w:lang w:val="en-US" w:eastAsia="zh-CN"/>
        </w:rPr>
        <w:t>增长18.5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增长40.22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eastAsia="zh-CN"/>
        </w:rPr>
        <w:t>：人</w:t>
      </w:r>
      <w:r>
        <w:rPr>
          <w:rFonts w:hint="eastAsia" w:ascii="仿宋" w:hAnsi="仿宋" w:eastAsia="仿宋"/>
          <w:sz w:val="32"/>
          <w:szCs w:val="32"/>
          <w:lang w:val="en-US" w:eastAsia="zh-CN"/>
        </w:rPr>
        <w:t>员</w:t>
      </w:r>
      <w:r>
        <w:rPr>
          <w:rFonts w:hint="eastAsia" w:ascii="仿宋" w:hAnsi="仿宋" w:eastAsia="仿宋"/>
          <w:sz w:val="32"/>
          <w:szCs w:val="32"/>
          <w:lang w:eastAsia="zh-CN"/>
        </w:rPr>
        <w:t>经费增加</w:t>
      </w:r>
      <w:r>
        <w:rPr>
          <w:rFonts w:hint="eastAsia" w:ascii="仿宋" w:hAnsi="仿宋" w:eastAsia="仿宋"/>
          <w:sz w:val="32"/>
          <w:szCs w:val="32"/>
        </w:rPr>
        <w:t>。</w:t>
      </w:r>
      <w:r>
        <w:rPr>
          <w:rFonts w:hint="eastAsia" w:ascii="仿宋" w:hAnsi="仿宋" w:eastAsia="仿宋"/>
          <w:sz w:val="32"/>
          <w:szCs w:val="32"/>
          <w:u w:val="none"/>
          <w:lang w:eastAsia="zh-CN"/>
        </w:rPr>
        <w:tab/>
      </w:r>
    </w:p>
    <w:p>
      <w:pPr>
        <w:spacing w:line="588" w:lineRule="exact"/>
        <w:ind w:firstLine="640" w:firstLineChars="200"/>
        <w:rPr>
          <w:rFonts w:ascii="黑体" w:hAnsi="黑体" w:eastAsia="黑体"/>
          <w:sz w:val="32"/>
          <w:szCs w:val="32"/>
          <w:u w:val="none"/>
        </w:rPr>
      </w:pPr>
      <w:r>
        <w:rPr>
          <w:rFonts w:ascii="黑体" w:hAnsi="黑体" w:eastAsia="黑体"/>
          <w:sz w:val="32"/>
          <w:szCs w:val="32"/>
          <w:u w:val="none"/>
        </w:rPr>
        <w:t>四</w:t>
      </w:r>
      <w:r>
        <w:rPr>
          <w:rFonts w:hint="eastAsia" w:ascii="黑体" w:hAnsi="黑体" w:eastAsia="黑体"/>
          <w:sz w:val="32"/>
          <w:szCs w:val="32"/>
          <w:u w:val="none"/>
        </w:rPr>
        <w:t>、</w:t>
      </w:r>
      <w:r>
        <w:rPr>
          <w:rFonts w:ascii="黑体" w:hAnsi="黑体" w:eastAsia="黑体"/>
          <w:sz w:val="32"/>
          <w:szCs w:val="32"/>
          <w:u w:val="none"/>
        </w:rPr>
        <w:t>政府采购情况</w:t>
      </w:r>
    </w:p>
    <w:p>
      <w:pPr>
        <w:spacing w:line="588" w:lineRule="exact"/>
        <w:ind w:firstLine="640" w:firstLineChars="200"/>
        <w:rPr>
          <w:rFonts w:ascii="仿宋" w:hAnsi="仿宋" w:eastAsia="仿宋"/>
          <w:sz w:val="32"/>
          <w:szCs w:val="32"/>
          <w:u w:val="none"/>
        </w:rPr>
      </w:pPr>
      <w:r>
        <w:rPr>
          <w:rFonts w:hint="eastAsia" w:ascii="仿宋" w:hAnsi="仿宋" w:eastAsia="仿宋"/>
          <w:sz w:val="32"/>
          <w:szCs w:val="32"/>
          <w:u w:val="none"/>
        </w:rPr>
        <w:t>2025年本部门政府采购安排</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p>
    <w:p>
      <w:pPr>
        <w:spacing w:line="588" w:lineRule="exact"/>
        <w:ind w:firstLine="640" w:firstLineChars="200"/>
        <w:rPr>
          <w:rFonts w:ascii="黑体" w:hAnsi="黑体" w:eastAsia="黑体"/>
          <w:sz w:val="32"/>
          <w:szCs w:val="32"/>
          <w:u w:val="none"/>
        </w:rPr>
      </w:pPr>
      <w:r>
        <w:rPr>
          <w:rFonts w:ascii="黑体" w:hAnsi="黑体" w:eastAsia="黑体"/>
          <w:sz w:val="32"/>
          <w:szCs w:val="32"/>
          <w:u w:val="none"/>
        </w:rPr>
        <w:t>五</w:t>
      </w:r>
      <w:r>
        <w:rPr>
          <w:rFonts w:hint="eastAsia" w:ascii="黑体" w:hAnsi="黑体" w:eastAsia="黑体"/>
          <w:sz w:val="32"/>
          <w:szCs w:val="32"/>
          <w:u w:val="none"/>
        </w:rPr>
        <w:t>、</w:t>
      </w:r>
      <w:r>
        <w:rPr>
          <w:rFonts w:ascii="黑体" w:hAnsi="黑体" w:eastAsia="黑体"/>
          <w:sz w:val="32"/>
          <w:szCs w:val="32"/>
          <w:u w:val="none"/>
        </w:rPr>
        <w:t>国有资产占有使用情况</w:t>
      </w:r>
    </w:p>
    <w:p>
      <w:pPr>
        <w:spacing w:line="588" w:lineRule="exact"/>
        <w:ind w:firstLine="640" w:firstLineChars="200"/>
        <w:rPr>
          <w:rFonts w:ascii="仿宋" w:hAnsi="仿宋" w:eastAsia="仿宋"/>
          <w:sz w:val="32"/>
          <w:szCs w:val="32"/>
          <w:highlight w:val="none"/>
          <w:u w:val="none"/>
        </w:rPr>
      </w:pPr>
      <w:r>
        <w:rPr>
          <w:rFonts w:hint="eastAsia" w:ascii="仿宋" w:hAnsi="仿宋" w:eastAsia="仿宋"/>
          <w:sz w:val="32"/>
          <w:szCs w:val="32"/>
          <w:highlight w:val="none"/>
          <w:u w:val="none"/>
        </w:rPr>
        <w:t>截至2025年1月20日，本部门固定资产构成情况为：房屋</w:t>
      </w:r>
      <w:r>
        <w:rPr>
          <w:rFonts w:hint="eastAsia" w:ascii="仿宋" w:hAnsi="仿宋" w:eastAsia="仿宋"/>
          <w:sz w:val="32"/>
          <w:szCs w:val="32"/>
          <w:highlight w:val="none"/>
          <w:u w:val="none"/>
          <w:lang w:val="en-US" w:eastAsia="zh-CN"/>
        </w:rPr>
        <w:t>300</w:t>
      </w:r>
      <w:r>
        <w:rPr>
          <w:rFonts w:hint="eastAsia" w:ascii="仿宋" w:hAnsi="仿宋" w:eastAsia="仿宋"/>
          <w:sz w:val="32"/>
          <w:szCs w:val="32"/>
          <w:highlight w:val="none"/>
          <w:u w:val="none"/>
        </w:rPr>
        <w:t>平方米，车辆</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u w:val="none"/>
        </w:rPr>
        <w:t>辆，单价在</w:t>
      </w:r>
      <w:r>
        <w:rPr>
          <w:rFonts w:ascii="仿宋" w:hAnsi="仿宋" w:eastAsia="仿宋"/>
          <w:sz w:val="32"/>
          <w:szCs w:val="32"/>
          <w:highlight w:val="none"/>
          <w:u w:val="none"/>
        </w:rPr>
        <w:t>50</w:t>
      </w:r>
      <w:r>
        <w:rPr>
          <w:rFonts w:hint="eastAsia" w:ascii="仿宋" w:hAnsi="仿宋" w:eastAsia="仿宋"/>
          <w:sz w:val="32"/>
          <w:szCs w:val="32"/>
          <w:highlight w:val="none"/>
          <w:u w:val="none"/>
        </w:rPr>
        <w:t>万元以上通用设备</w:t>
      </w:r>
      <w:r>
        <w:rPr>
          <w:rFonts w:hint="eastAsia" w:ascii="仿宋" w:hAnsi="仿宋" w:eastAsia="仿宋"/>
          <w:sz w:val="32"/>
          <w:szCs w:val="32"/>
          <w:highlight w:val="none"/>
          <w:u w:val="none"/>
          <w:lang w:val="en-US" w:eastAsia="zh-CN"/>
        </w:rPr>
        <w:t>6</w:t>
      </w:r>
      <w:r>
        <w:rPr>
          <w:rFonts w:hint="eastAsia" w:ascii="仿宋" w:hAnsi="仿宋" w:eastAsia="仿宋"/>
          <w:sz w:val="32"/>
          <w:szCs w:val="32"/>
          <w:highlight w:val="none"/>
          <w:u w:val="none"/>
        </w:rPr>
        <w:t>台（套），单价在</w:t>
      </w:r>
      <w:r>
        <w:rPr>
          <w:rFonts w:ascii="仿宋" w:hAnsi="仿宋" w:eastAsia="仿宋"/>
          <w:sz w:val="32"/>
          <w:szCs w:val="32"/>
          <w:highlight w:val="none"/>
          <w:u w:val="none"/>
        </w:rPr>
        <w:t>100</w:t>
      </w:r>
      <w:r>
        <w:rPr>
          <w:rFonts w:hint="eastAsia" w:ascii="仿宋" w:hAnsi="仿宋" w:eastAsia="仿宋"/>
          <w:sz w:val="32"/>
          <w:szCs w:val="32"/>
          <w:highlight w:val="none"/>
          <w:u w:val="none"/>
        </w:rPr>
        <w:t>万元以上专用设备</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u w:val="none"/>
        </w:rPr>
        <w:t>台（套）。本年度拟购置固定资产</w:t>
      </w:r>
      <w:r>
        <w:rPr>
          <w:rFonts w:hint="eastAsia" w:ascii="仿宋" w:hAnsi="仿宋" w:eastAsia="仿宋"/>
          <w:sz w:val="32"/>
          <w:szCs w:val="32"/>
          <w:highlight w:val="none"/>
          <w:u w:val="none"/>
          <w:lang w:val="en-US" w:eastAsia="zh-CN"/>
        </w:rPr>
        <w:t>20</w:t>
      </w:r>
      <w:r>
        <w:rPr>
          <w:rFonts w:hint="eastAsia" w:ascii="仿宋" w:hAnsi="仿宋" w:eastAsia="仿宋"/>
          <w:sz w:val="32"/>
          <w:szCs w:val="32"/>
          <w:highlight w:val="none"/>
          <w:u w:val="none"/>
        </w:rPr>
        <w:t>万元，主要是：</w:t>
      </w:r>
      <w:r>
        <w:rPr>
          <w:rFonts w:hint="eastAsia" w:ascii="仿宋" w:hAnsi="仿宋" w:eastAsia="仿宋"/>
          <w:sz w:val="32"/>
          <w:szCs w:val="32"/>
          <w:highlight w:val="none"/>
          <w:u w:val="none"/>
          <w:lang w:eastAsia="zh-CN"/>
        </w:rPr>
        <w:t>购买摄像设备</w:t>
      </w:r>
      <w:r>
        <w:rPr>
          <w:rFonts w:hint="eastAsia" w:ascii="仿宋" w:hAnsi="仿宋" w:eastAsia="仿宋"/>
          <w:sz w:val="32"/>
          <w:szCs w:val="32"/>
          <w:highlight w:val="none"/>
          <w:u w:val="none"/>
        </w:rPr>
        <w:t>。</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六</w:t>
      </w:r>
      <w:r>
        <w:rPr>
          <w:rFonts w:ascii="黑体" w:hAnsi="黑体" w:eastAsia="黑体"/>
          <w:sz w:val="32"/>
          <w:szCs w:val="32"/>
          <w:u w:val="none"/>
        </w:rPr>
        <w:t>、项目绩效目标情况</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rPr>
        <w:t>2025年，实行绩效目标管理项目</w:t>
      </w:r>
      <w:r>
        <w:rPr>
          <w:rFonts w:hint="eastAsia" w:ascii="仿宋" w:hAnsi="仿宋" w:eastAsia="仿宋"/>
          <w:sz w:val="32"/>
          <w:szCs w:val="32"/>
          <w:u w:val="none"/>
          <w:lang w:val="en-US" w:eastAsia="zh-CN"/>
        </w:rPr>
        <w:t>23</w:t>
      </w:r>
      <w:r>
        <w:rPr>
          <w:rFonts w:hint="eastAsia" w:ascii="仿宋" w:hAnsi="仿宋" w:eastAsia="仿宋"/>
          <w:sz w:val="32"/>
          <w:szCs w:val="32"/>
          <w:u w:val="none"/>
        </w:rPr>
        <w:t>个，资金</w:t>
      </w:r>
      <w:r>
        <w:rPr>
          <w:rFonts w:hint="eastAsia" w:ascii="仿宋" w:hAnsi="仿宋" w:eastAsia="仿宋"/>
          <w:sz w:val="32"/>
          <w:szCs w:val="32"/>
          <w:u w:val="none"/>
          <w:lang w:val="en-US" w:eastAsia="zh-CN"/>
        </w:rPr>
        <w:t>940.32</w:t>
      </w:r>
      <w:r>
        <w:rPr>
          <w:rFonts w:hint="eastAsia" w:ascii="仿宋" w:hAnsi="仿宋" w:eastAsia="仿宋"/>
          <w:sz w:val="32"/>
          <w:szCs w:val="32"/>
          <w:u w:val="none"/>
        </w:rPr>
        <w:t>万元，实现项目支出绩效目标管理全覆盖。其中本部门重点项目绩效目标情况如下：</w:t>
      </w:r>
    </w:p>
    <w:tbl>
      <w:tblPr>
        <w:tblStyle w:val="4"/>
        <w:tblW w:w="99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7"/>
        <w:gridCol w:w="1200"/>
        <w:gridCol w:w="1232"/>
        <w:gridCol w:w="1141"/>
        <w:gridCol w:w="1151"/>
        <w:gridCol w:w="728"/>
        <w:gridCol w:w="673"/>
        <w:gridCol w:w="757"/>
        <w:gridCol w:w="492"/>
        <w:gridCol w:w="1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重点项目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预算数（单位：万元）</w:t>
            </w:r>
          </w:p>
        </w:tc>
        <w:tc>
          <w:tcPr>
            <w:tcW w:w="71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232"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41"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51"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28"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73"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492"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02" w:type="dxa"/>
            <w:tcBorders>
              <w:top w:val="single" w:color="000000" w:sz="4" w:space="0"/>
              <w:left w:val="single" w:color="000000" w:sz="4" w:space="0"/>
              <w:bottom w:val="single" w:color="000000" w:sz="4" w:space="0"/>
              <w:right w:val="single" w:color="000000"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54060024R000001585556-保安人员经费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54060024R000001586429-干部职工通讯补助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54060024R000001586926-干部职工体检费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54060024R000001598610-干部职工休假包干补助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54060024R000001599779-工伤保险配套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54060024R000001599939-失业保险配套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54060024R000001600867-干部职工取暖费补助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54060024T000001666997-广播电视节目无线覆盖运行维护费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设备维护及时率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机房设备运行保障率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工作人员满意度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每天巡逻机房次数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宣传工作可持续发展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每种机房检修次数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广泛宣传国家政策</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群众满意度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机房降温措施保障</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54060025R000002008956-财政工资统发</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410.76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54060025R000002009101-年终一次性奖金</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54060025R000002009918-住房公积金</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54060025R000002012573-城镇职工基本医疗保险缴费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54060025R000002013011-机关事业单位养老保险缴费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65.73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54060025R000002022776-艰苦台站津贴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54060025R000002033491-强基惠民驻村生活补助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足额保障率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社会稳定性★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人员幸福感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54060025Y000002013463-工会经费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人员积极性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履职能力★</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合理配置率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成本指标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经济成本指标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超标准率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54060025Y000002013612-用氧补助经费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履职能力★</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成本指标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经济成本指标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超标准率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合理配置率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人员积极性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54060025Y000002013750-日常公用经费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成本指标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经济成本指标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超标准率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履职能力★</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使用规范率★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合理配置率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人员积极性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定性</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及时支付率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54060025Y000002068421-电子政务内网及其应用系统运维费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构建宣传阵地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做好宣传各项工作</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拓宽政务服务渠道</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丰富群众文化生活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及时准确向群众传递党的声音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广泛宣传国家政策</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群众满意度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宣传工作可持续发展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54062824T000001376862-应急广播体系</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每天应急广播播放次数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网络运行保障率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宣传党的方针政策</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各部门满意度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覆盖村居数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群众满意度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广播播放及时率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宣传工作可持续发展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资金使用和规律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54062824T000001501569-新华书店和数字影院运行经费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成本指标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涉及资金</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受益人数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提高群众政策了解率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提高群众生活水平</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读者满意度指标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读者满意度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保证群众和干部观看更好的电影</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保证提供群众所需书籍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书籍种类</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54062824T000001503115-西薪工程调频经费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29.13</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公众号每天发布消息数量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宣传工作可持续发展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群众满意度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读者满意度指标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干部满意度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舆情及时处置率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每天广播播放次数</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成本指标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资金足额率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宣传贯彻政策</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每天保障广播安全播放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54062825T000002171055-文化宣传经费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保障宣传内容真实性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多样化宣传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资金使用及时率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可持续发展指标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宣传工作可持续发展</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做好宣传各项工作资金使用规范性</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数量指标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宣传覆盖率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时效指标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及时准确做好宣传工作</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社会效益指标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广泛宣传</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质量指标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提高宣传质量</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服务对象满意度指标</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群众满意度</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七、其他需要说明的情况</w:t>
      </w:r>
    </w:p>
    <w:p>
      <w:pPr>
        <w:widowControl/>
        <w:spacing w:line="588" w:lineRule="exact"/>
        <w:ind w:firstLine="640" w:firstLineChars="200"/>
        <w:jc w:val="both"/>
        <w:rPr>
          <w:rFonts w:ascii="方正小标宋简体" w:hAnsi="仿宋" w:eastAsia="方正小标宋简体"/>
          <w:sz w:val="32"/>
          <w:szCs w:val="32"/>
          <w:u w:val="none"/>
        </w:rPr>
      </w:pPr>
      <w:r>
        <w:rPr>
          <w:rFonts w:hint="eastAsia" w:ascii="仿宋" w:hAnsi="仿宋" w:eastAsia="仿宋"/>
          <w:sz w:val="32"/>
          <w:szCs w:val="32"/>
          <w:u w:val="none"/>
          <w:lang w:eastAsia="zh-CN"/>
        </w:rPr>
        <w:t>无。</w:t>
      </w:r>
      <w:bookmarkStart w:id="0" w:name="_GoBack"/>
      <w:bookmarkEnd w:id="0"/>
      <w:r>
        <w:rPr>
          <w:rFonts w:ascii="方正小标宋简体" w:hAnsi="仿宋" w:eastAsia="方正小标宋简体"/>
          <w:sz w:val="32"/>
          <w:szCs w:val="32"/>
          <w:u w:val="none"/>
        </w:rPr>
        <w:br w:type="page"/>
      </w:r>
      <w:r>
        <w:rPr>
          <w:rFonts w:hint="eastAsia" w:ascii="方正小标宋简体" w:hAnsi="仿宋" w:eastAsia="方正小标宋简体"/>
          <w:sz w:val="40"/>
          <w:szCs w:val="32"/>
          <w:u w:val="none"/>
        </w:rPr>
        <w:t>第四部分  名词解释</w:t>
      </w:r>
    </w:p>
    <w:p>
      <w:pPr>
        <w:spacing w:line="588" w:lineRule="exact"/>
        <w:ind w:firstLine="640" w:firstLineChars="200"/>
        <w:rPr>
          <w:rFonts w:ascii="黑体" w:hAnsi="黑体" w:eastAsia="黑体"/>
          <w:sz w:val="32"/>
          <w:szCs w:val="32"/>
          <w:u w:val="none"/>
        </w:rPr>
      </w:pP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一、财政拨款收入：</w:t>
      </w:r>
      <w:r>
        <w:rPr>
          <w:rFonts w:hint="eastAsia" w:ascii="仿宋" w:hAnsi="仿宋" w:eastAsia="仿宋"/>
          <w:sz w:val="32"/>
          <w:szCs w:val="32"/>
          <w:u w:val="none"/>
        </w:rPr>
        <w:t>指预算单位从本级财政部门取得的财政预算资金收入。</w:t>
      </w: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二、事业收入：</w:t>
      </w:r>
      <w:r>
        <w:rPr>
          <w:rFonts w:hint="eastAsia" w:ascii="仿宋" w:hAnsi="仿宋" w:eastAsia="仿宋"/>
          <w:sz w:val="32"/>
          <w:szCs w:val="32"/>
          <w:u w:val="none"/>
        </w:rPr>
        <w:t>指事业单位开展专业业务活动及辅助活动所取得的收入。</w:t>
      </w: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三、经营收入：</w:t>
      </w:r>
      <w:r>
        <w:rPr>
          <w:rFonts w:hint="eastAsia" w:ascii="仿宋" w:hAnsi="仿宋" w:eastAsia="仿宋"/>
          <w:sz w:val="32"/>
          <w:szCs w:val="32"/>
          <w:u w:val="none"/>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四</w:t>
      </w:r>
      <w:r>
        <w:rPr>
          <w:rFonts w:ascii="黑体" w:hAnsi="黑体" w:eastAsia="黑体"/>
          <w:sz w:val="32"/>
          <w:szCs w:val="32"/>
          <w:u w:val="none"/>
        </w:rPr>
        <w:t>、</w:t>
      </w:r>
      <w:r>
        <w:rPr>
          <w:rFonts w:hint="eastAsia" w:ascii="黑体" w:hAnsi="黑体" w:eastAsia="黑体"/>
          <w:sz w:val="32"/>
          <w:szCs w:val="32"/>
          <w:u w:val="none"/>
        </w:rPr>
        <w:t>其他收入：</w:t>
      </w:r>
      <w:r>
        <w:rPr>
          <w:rFonts w:hint="eastAsia" w:ascii="仿宋" w:hAnsi="仿宋" w:eastAsia="仿宋"/>
          <w:sz w:val="32"/>
          <w:szCs w:val="32"/>
          <w:u w:val="none"/>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五、上年结转：</w:t>
      </w:r>
      <w:r>
        <w:rPr>
          <w:rFonts w:hint="eastAsia" w:ascii="仿宋" w:hAnsi="仿宋" w:eastAsia="仿宋"/>
          <w:sz w:val="32"/>
          <w:szCs w:val="32"/>
          <w:u w:val="none"/>
        </w:rPr>
        <w:t>指以前年度安排、结转到本年仍按原规定用途继续使用的资金。</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六、用事业基金弥补收支差额：</w:t>
      </w:r>
      <w:r>
        <w:rPr>
          <w:rFonts w:hint="eastAsia" w:ascii="仿宋" w:hAnsi="仿宋" w:eastAsia="仿宋"/>
          <w:sz w:val="32"/>
          <w:szCs w:val="32"/>
          <w:u w:val="none"/>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u w:val="none"/>
        </w:rPr>
      </w:pPr>
      <w:r>
        <w:rPr>
          <w:rFonts w:hint="eastAsia" w:ascii="黑体" w:hAnsi="黑体" w:eastAsia="黑体"/>
          <w:sz w:val="32"/>
          <w:szCs w:val="32"/>
          <w:u w:val="none"/>
        </w:rPr>
        <w:t>七、</w:t>
      </w:r>
      <w:r>
        <w:rPr>
          <w:rFonts w:ascii="黑体" w:hAnsi="黑体" w:eastAsia="黑体"/>
          <w:sz w:val="32"/>
          <w:szCs w:val="32"/>
          <w:u w:val="none"/>
        </w:rPr>
        <w:t>基本支出</w:t>
      </w:r>
      <w:r>
        <w:rPr>
          <w:rFonts w:hint="eastAsia" w:ascii="黑体" w:hAnsi="黑体" w:eastAsia="黑体"/>
          <w:sz w:val="32"/>
          <w:szCs w:val="32"/>
          <w:u w:val="none"/>
        </w:rPr>
        <w:t>：</w:t>
      </w:r>
      <w:r>
        <w:rPr>
          <w:rFonts w:ascii="仿宋" w:hAnsi="仿宋" w:eastAsia="仿宋"/>
          <w:sz w:val="32"/>
          <w:szCs w:val="32"/>
          <w:u w:val="none"/>
        </w:rPr>
        <w:t>指为保障机构正常运转</w:t>
      </w:r>
      <w:r>
        <w:rPr>
          <w:rFonts w:hint="eastAsia" w:ascii="仿宋" w:hAnsi="仿宋" w:eastAsia="仿宋"/>
          <w:sz w:val="32"/>
          <w:szCs w:val="32"/>
          <w:u w:val="none"/>
        </w:rPr>
        <w:t>、</w:t>
      </w:r>
      <w:r>
        <w:rPr>
          <w:rFonts w:ascii="仿宋" w:hAnsi="仿宋" w:eastAsia="仿宋"/>
          <w:sz w:val="32"/>
          <w:szCs w:val="32"/>
          <w:u w:val="none"/>
        </w:rPr>
        <w:t>完成日常工作任务而发生的人员支出和公用支出</w:t>
      </w:r>
      <w:r>
        <w:rPr>
          <w:rFonts w:hint="eastAsia" w:ascii="仿宋" w:hAnsi="仿宋" w:eastAsia="仿宋"/>
          <w:sz w:val="32"/>
          <w:szCs w:val="32"/>
          <w:u w:val="none"/>
        </w:rPr>
        <w:t>。</w:t>
      </w:r>
    </w:p>
    <w:p>
      <w:pPr>
        <w:autoSpaceDE w:val="0"/>
        <w:autoSpaceDN w:val="0"/>
        <w:adjustRightInd w:val="0"/>
        <w:spacing w:line="588" w:lineRule="exact"/>
        <w:ind w:firstLine="640" w:firstLineChars="200"/>
        <w:jc w:val="left"/>
        <w:rPr>
          <w:rFonts w:ascii="仿宋" w:hAnsi="仿宋" w:eastAsia="仿宋"/>
          <w:sz w:val="32"/>
          <w:szCs w:val="32"/>
          <w:u w:val="none"/>
        </w:rPr>
      </w:pPr>
      <w:r>
        <w:rPr>
          <w:rFonts w:hint="eastAsia" w:ascii="黑体" w:hAnsi="黑体" w:eastAsia="黑体"/>
          <w:sz w:val="32"/>
          <w:szCs w:val="32"/>
          <w:u w:val="none"/>
        </w:rPr>
        <w:t>八</w:t>
      </w:r>
      <w:r>
        <w:rPr>
          <w:rFonts w:ascii="黑体" w:hAnsi="黑体" w:eastAsia="黑体"/>
          <w:sz w:val="32"/>
          <w:szCs w:val="32"/>
          <w:u w:val="none"/>
        </w:rPr>
        <w:t>、</w:t>
      </w:r>
      <w:r>
        <w:rPr>
          <w:rFonts w:hint="eastAsia" w:ascii="黑体" w:hAnsi="黑体" w:eastAsia="黑体"/>
          <w:sz w:val="32"/>
          <w:szCs w:val="32"/>
          <w:u w:val="none"/>
        </w:rPr>
        <w:t>项目支出：</w:t>
      </w:r>
      <w:r>
        <w:rPr>
          <w:rFonts w:hint="eastAsia" w:ascii="仿宋" w:hAnsi="仿宋" w:eastAsia="仿宋"/>
          <w:sz w:val="32"/>
          <w:szCs w:val="32"/>
          <w:u w:val="none"/>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u w:val="none"/>
        </w:rPr>
      </w:pPr>
      <w:r>
        <w:rPr>
          <w:rFonts w:hint="eastAsia" w:ascii="黑体" w:hAnsi="黑体" w:eastAsia="黑体"/>
          <w:sz w:val="32"/>
          <w:szCs w:val="32"/>
          <w:u w:val="none"/>
        </w:rPr>
        <w:t>九</w:t>
      </w:r>
      <w:r>
        <w:rPr>
          <w:rFonts w:ascii="黑体" w:hAnsi="黑体" w:eastAsia="黑体"/>
          <w:sz w:val="32"/>
          <w:szCs w:val="32"/>
          <w:u w:val="none"/>
        </w:rPr>
        <w:t>、</w:t>
      </w:r>
      <w:r>
        <w:rPr>
          <w:rFonts w:hint="eastAsia" w:ascii="黑体" w:hAnsi="黑体" w:eastAsia="黑体"/>
          <w:sz w:val="32"/>
          <w:szCs w:val="32"/>
          <w:u w:val="none"/>
        </w:rPr>
        <w:t>经营支出：</w:t>
      </w:r>
      <w:r>
        <w:rPr>
          <w:rFonts w:hint="eastAsia" w:ascii="仿宋" w:hAnsi="仿宋" w:eastAsia="仿宋"/>
          <w:sz w:val="32"/>
          <w:szCs w:val="32"/>
          <w:u w:val="none"/>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u w:val="none"/>
        </w:rPr>
      </w:pPr>
      <w:r>
        <w:rPr>
          <w:rFonts w:ascii="黑体" w:hAnsi="黑体" w:eastAsia="黑体"/>
          <w:sz w:val="32"/>
          <w:szCs w:val="32"/>
          <w:u w:val="none"/>
        </w:rPr>
        <w:t>十</w:t>
      </w:r>
      <w:r>
        <w:rPr>
          <w:rFonts w:hint="eastAsia" w:ascii="黑体" w:hAnsi="黑体" w:eastAsia="黑体"/>
          <w:sz w:val="32"/>
          <w:szCs w:val="32"/>
          <w:u w:val="none"/>
        </w:rPr>
        <w:t>、</w:t>
      </w:r>
      <w:r>
        <w:rPr>
          <w:rFonts w:ascii="黑体" w:hAnsi="黑体" w:eastAsia="黑体"/>
          <w:sz w:val="32"/>
          <w:szCs w:val="32"/>
          <w:u w:val="none"/>
        </w:rPr>
        <w:t>行政经费</w:t>
      </w:r>
      <w:r>
        <w:rPr>
          <w:rFonts w:hint="eastAsia" w:ascii="黑体" w:hAnsi="黑体" w:eastAsia="黑体"/>
          <w:sz w:val="32"/>
          <w:szCs w:val="32"/>
          <w:u w:val="none"/>
        </w:rPr>
        <w:t>（机关运行经费）：</w:t>
      </w:r>
      <w:r>
        <w:rPr>
          <w:rFonts w:hint="eastAsia" w:ascii="仿宋" w:hAnsi="仿宋" w:eastAsia="仿宋"/>
          <w:sz w:val="32"/>
          <w:szCs w:val="32"/>
          <w:u w:val="none"/>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u w:val="none"/>
        </w:rPr>
      </w:pPr>
      <w:r>
        <w:rPr>
          <w:rFonts w:hint="eastAsia" w:ascii="黑体" w:hAnsi="黑体" w:eastAsia="黑体"/>
          <w:sz w:val="32"/>
          <w:szCs w:val="32"/>
          <w:u w:val="none"/>
        </w:rPr>
        <w:t>十一、“三公”经费：</w:t>
      </w:r>
      <w:r>
        <w:rPr>
          <w:rFonts w:hint="eastAsia" w:ascii="仿宋" w:hAnsi="仿宋" w:eastAsia="仿宋"/>
          <w:sz w:val="32"/>
          <w:szCs w:val="32"/>
          <w:u w:val="none"/>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u w:val="none"/>
        </w:rPr>
      </w:pPr>
      <w:r>
        <w:rPr>
          <w:rFonts w:hint="eastAsia" w:ascii="黑体" w:hAnsi="黑体" w:eastAsia="黑体"/>
          <w:sz w:val="32"/>
          <w:szCs w:val="32"/>
          <w:u w:val="none"/>
        </w:rPr>
        <w:t>十二</w:t>
      </w:r>
      <w:r>
        <w:rPr>
          <w:rFonts w:ascii="黑体" w:hAnsi="黑体" w:eastAsia="黑体"/>
          <w:sz w:val="32"/>
          <w:szCs w:val="32"/>
          <w:u w:val="none"/>
        </w:rPr>
        <w:t>、</w:t>
      </w:r>
      <w:r>
        <w:rPr>
          <w:rFonts w:hint="eastAsia" w:ascii="黑体" w:hAnsi="黑体" w:eastAsia="黑体"/>
          <w:sz w:val="32"/>
          <w:szCs w:val="32"/>
          <w:u w:val="none"/>
        </w:rPr>
        <w:t>重点项目：</w:t>
      </w:r>
      <w:r>
        <w:rPr>
          <w:rFonts w:hint="eastAsia" w:ascii="仿宋" w:hAnsi="仿宋" w:eastAsia="仿宋"/>
          <w:sz w:val="32"/>
          <w:szCs w:val="32"/>
          <w:u w:val="none"/>
        </w:rPr>
        <w:t>贯彻落实自治区党委、政府重大方针政策和决策部署的项目，覆盖面广、影响力大、社会关注度高、实施期长的项目，或与本部门职能职责密切相关的项目或预算安排支出相对较大的项目。</w:t>
      </w:r>
    </w:p>
    <w:p>
      <w:pPr>
        <w:rPr>
          <w:u w:val="none"/>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MTZlNmVjODY2ODk0NjkxYTc0MTMyOThkZjg0MWMifQ=="/>
  </w:docVars>
  <w:rsids>
    <w:rsidRoot w:val="00000000"/>
    <w:rsid w:val="077149AA"/>
    <w:rsid w:val="12BA15D0"/>
    <w:rsid w:val="14CF1B1B"/>
    <w:rsid w:val="2AAD3448"/>
    <w:rsid w:val="3373363B"/>
    <w:rsid w:val="342A06C4"/>
    <w:rsid w:val="541D0B4B"/>
    <w:rsid w:val="56955A19"/>
    <w:rsid w:val="5E6E0BED"/>
    <w:rsid w:val="61A218C8"/>
    <w:rsid w:val="671F55B7"/>
    <w:rsid w:val="6AEE5E05"/>
    <w:rsid w:val="77A8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2025-02-19T06:30:00Z</dcterms:created>
  <dc:creator>Administrator</dc:creator>
  <cp:lastModifiedBy>Administrator</cp:lastModifiedBy>
  <dcterms:modified xsi:type="dcterms:W3CDTF">2025-02-21T08:50:39Z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ABDCE62FC0614559A97BCD33DAB1D661_12</vt:lpwstr>
  </property>
</Properties>
</file>