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eastAsia="zh-CN"/>
        </w:rPr>
        <w:t>巴青县文化和旅游局</w:t>
      </w:r>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eastAsia="zh-CN"/>
        </w:rPr>
        <w:t>巴青县文化和旅游局</w:t>
      </w:r>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巴青县文化和旅游局</w:t>
      </w:r>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说明。部门（单位）“三定”方案规定的主要职责。</w:t>
      </w:r>
      <w:r>
        <w:rPr>
          <w:rFonts w:hint="eastAsia" w:ascii="仿宋" w:hAnsi="仿宋" w:eastAsia="仿宋"/>
          <w:sz w:val="32"/>
          <w:szCs w:val="32"/>
          <w:lang w:eastAsia="zh-CN"/>
        </w:rPr>
        <w:t>负责研究拟订全县文化和旅游制度措施，贯彻落实文化旅游相关政策；统筹规划全县文化事业、文旅产业和旅游业发展，拟订并组织实施发展规划，推进文化和旅游融合发展，统筹推进文化和旅游相关改革工作；指导全县重点基层文化和旅游设施建设，组织巴青县文化和旅游整体形象推广，制定并组织实施文化和旅游市场开发规划，指导、推进全域旅游发展；指导、管理全县文艺事业，指导艺术创作生产，推动实施文艺精品工程，扶持体现社会主义核心价值观、具有指导性代表性示范性的文艺作品，推动各门类艺术、各艺术品种发展；负责全县公共文化事业发展，推进全县公共文化服务体系建设和旅游公共服务建设，深入实施中华优秀传统文化传承发展、文化惠民和文化“润边”工程，以文化艺术形式引导各族群众铸牢中华民族共同体意识，促进各名族交往交流交融，统筹推进基本公共文化服务标准化、均等化；贯彻落实国家文化数字化战略，指导、推进全县文化和旅游科技创新发展，推动文化和旅游行业信息化、标准化建设；负责全县非物质文化遗产的保护、传承、普及、弘扬和振兴；贯彻落实国家数字经济发展战略、重大文化产业项目带动战略，牵头推进重要的世界旅游目的地建设，统筹规划全县文化产业和旅游产业，组织实施文化和旅游资源普查、挖掘、保护和利用工作，促进文化产业和旅游产业高质量发展；指导全县文化和旅游市场发展，对文化和旅游市场经营进行行业监管，推进文化和旅游行业信用体系建设，依法管理文化和旅游市场；负责全县文化旅游领域执法工作，根据授权，组织查处全县性、跨区域文化、文物、出版、广播电视、电影、旅游等市场的违法行为，按规定权限督查督办大案要案，维护市场秩序；根据授权，指导、管理文化和旅游对内对外交流合作和宣传推广工作，组织管理大型文化和旅游交流活动，推动中华文化走出去；贯彻执行党的文物工作方针政策，执行文物保护法律法规，拟订全县文物和博物馆事业发展规划并组织实施；协调和指导全县文物保护工作。管理和指导全县文化修缮和保护设施建设工作。履行文物执法督察职责，依法查处文物违法的重大案件，协同有关部门查处文物犯罪的重大案件。配合有关部门开展革命文物保护利用工作。指导革命文物保护管理利用工作，组织开展革命文物研究、展示和传播；负责全县文物资源资产管理工作，组织开展全县文物资源调查工作，承担申报国家及自治区、市、县文物保护单位工作。负责推进文物合理利用和社会参与工作，组织开展文物和博物馆单位文化创意产品开发工作；负责管理和指导全县考古工作，协助开展全县文物调查勘探、考古发掘工作，组织实施重大考古发掘项目；指导全县文物和博物馆的业务工作，推动完善文物和博物馆公共服务体系建设。负责管理文物研究工作。承担文物和博物馆有关审核、审批事务及相关资质、资格审核认定工作。规范民间收藏、引导文物市场健康发展；指导和推动全县文物和博物馆科技、信息化、标准化建设工作，组织开展重大文物保护科技创新工作，促进文物保护科技成果频道转化和推广；负责本行业领域安全生产监管和应急处置工作；完成县委、县政府交办的其他任务。</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巴青县文化和旅游局纳入本部门预算汇编范围的独立核算单位共1个。</w:t>
      </w:r>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巴青县文化和旅游局</w:t>
      </w:r>
      <w:bookmarkStart w:id="0" w:name="_GoBack"/>
      <w:bookmarkEnd w:id="0"/>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r>
        <w:rPr>
          <w:rFonts w:hint="eastAsia" w:ascii="仿宋" w:hAnsi="仿宋" w:eastAsia="仿宋"/>
          <w:sz w:val="32"/>
          <w:szCs w:val="32"/>
          <w:lang w:val="en-US" w:eastAsia="zh-CN"/>
        </w:rPr>
        <w:t>842.71</w:t>
      </w:r>
      <w:r>
        <w:rPr>
          <w:rFonts w:hint="eastAsia" w:ascii="仿宋" w:hAnsi="仿宋" w:eastAsia="仿宋"/>
          <w:sz w:val="32"/>
          <w:szCs w:val="32"/>
        </w:rPr>
        <w:t>万元，比上年增加</w:t>
      </w:r>
      <w:r>
        <w:rPr>
          <w:rFonts w:hint="eastAsia" w:ascii="仿宋" w:hAnsi="仿宋" w:eastAsia="仿宋"/>
          <w:sz w:val="32"/>
          <w:szCs w:val="32"/>
          <w:lang w:val="en-US" w:eastAsia="zh-CN"/>
        </w:rPr>
        <w:t>122.5</w:t>
      </w:r>
      <w:r>
        <w:rPr>
          <w:rFonts w:hint="eastAsia" w:ascii="仿宋" w:hAnsi="仿宋" w:eastAsia="仿宋"/>
          <w:sz w:val="32"/>
          <w:szCs w:val="32"/>
        </w:rPr>
        <w:t>万元，增长</w:t>
      </w:r>
      <w:r>
        <w:rPr>
          <w:rFonts w:hint="eastAsia" w:ascii="仿宋" w:hAnsi="仿宋" w:eastAsia="仿宋"/>
          <w:sz w:val="32"/>
          <w:szCs w:val="32"/>
          <w:lang w:val="en-US" w:eastAsia="zh-CN"/>
        </w:rPr>
        <w:t>17</w:t>
      </w:r>
      <w:r>
        <w:rPr>
          <w:rFonts w:hint="eastAsia" w:ascii="仿宋" w:hAnsi="仿宋" w:eastAsia="仿宋"/>
          <w:sz w:val="32"/>
          <w:szCs w:val="32"/>
        </w:rPr>
        <w:t>%，主要原因是：</w:t>
      </w:r>
      <w:r>
        <w:rPr>
          <w:rFonts w:hint="eastAsia" w:ascii="仿宋" w:hAnsi="仿宋" w:eastAsia="仿宋"/>
          <w:sz w:val="32"/>
          <w:szCs w:val="32"/>
          <w:lang w:val="en-US" w:eastAsia="zh-CN"/>
        </w:rPr>
        <w:t>2025年人员工资、公用经费预算同比2024年有所增长，此外同比上年增加了强基惠民驻村经费和文旅专项业务经费</w:t>
      </w:r>
      <w:r>
        <w:rPr>
          <w:rFonts w:hint="eastAsia" w:ascii="仿宋" w:hAnsi="仿宋" w:eastAsia="仿宋"/>
          <w:sz w:val="32"/>
          <w:szCs w:val="32"/>
        </w:rPr>
        <w:t>；支出预算</w:t>
      </w:r>
      <w:r>
        <w:rPr>
          <w:rFonts w:hint="eastAsia" w:ascii="仿宋" w:hAnsi="仿宋" w:eastAsia="仿宋"/>
          <w:sz w:val="32"/>
          <w:szCs w:val="32"/>
          <w:lang w:val="en-US" w:eastAsia="zh-CN"/>
        </w:rPr>
        <w:t>842.71</w:t>
      </w:r>
      <w:r>
        <w:rPr>
          <w:rFonts w:hint="eastAsia" w:ascii="仿宋" w:hAnsi="仿宋" w:eastAsia="仿宋"/>
          <w:sz w:val="32"/>
          <w:szCs w:val="32"/>
        </w:rPr>
        <w:t>万元，比上年增加</w:t>
      </w:r>
      <w:r>
        <w:rPr>
          <w:rFonts w:hint="eastAsia" w:ascii="仿宋" w:hAnsi="仿宋" w:eastAsia="仿宋"/>
          <w:sz w:val="32"/>
          <w:szCs w:val="32"/>
          <w:lang w:val="en-US" w:eastAsia="zh-CN"/>
        </w:rPr>
        <w:t>122.5</w:t>
      </w:r>
      <w:r>
        <w:rPr>
          <w:rFonts w:hint="eastAsia" w:ascii="仿宋" w:hAnsi="仿宋" w:eastAsia="仿宋"/>
          <w:sz w:val="32"/>
          <w:szCs w:val="32"/>
        </w:rPr>
        <w:t>万元，增长</w:t>
      </w:r>
      <w:r>
        <w:rPr>
          <w:rFonts w:hint="eastAsia" w:ascii="仿宋" w:hAnsi="仿宋" w:eastAsia="仿宋"/>
          <w:sz w:val="32"/>
          <w:szCs w:val="32"/>
          <w:lang w:val="en-US" w:eastAsia="zh-CN"/>
        </w:rPr>
        <w:t>17</w:t>
      </w:r>
      <w:r>
        <w:rPr>
          <w:rFonts w:hint="eastAsia" w:ascii="仿宋" w:hAnsi="仿宋" w:eastAsia="仿宋"/>
          <w:sz w:val="32"/>
          <w:szCs w:val="32"/>
        </w:rPr>
        <w:t>%，主要原因是：</w:t>
      </w:r>
      <w:r>
        <w:rPr>
          <w:rFonts w:hint="eastAsia" w:ascii="仿宋" w:hAnsi="仿宋" w:eastAsia="仿宋"/>
          <w:sz w:val="32"/>
          <w:szCs w:val="32"/>
          <w:lang w:val="en-US" w:eastAsia="zh-CN"/>
        </w:rPr>
        <w:t>2025年人员工资、公用经费预算同比2024年有所增长，此外同比上年增加了强基惠民驻村经费和文旅专项业务经费</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%，主要原因是：厉行节约过紧日子，压减“三公”经费，……。其中：因公出国（境）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2024年，本部门机关运行经费安排</w:t>
      </w:r>
      <w:r>
        <w:rPr>
          <w:rFonts w:hint="eastAsia" w:ascii="仿宋" w:hAnsi="仿宋" w:eastAsia="仿宋"/>
          <w:sz w:val="32"/>
          <w:szCs w:val="32"/>
          <w:lang w:val="en-US" w:eastAsia="zh-CN"/>
        </w:rPr>
        <w:t>16</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7.2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81</w:t>
      </w:r>
      <w:r>
        <w:rPr>
          <w:rFonts w:hint="eastAsia" w:ascii="仿宋" w:hAnsi="仿宋" w:eastAsia="仿宋"/>
          <w:sz w:val="32"/>
          <w:szCs w:val="32"/>
        </w:rPr>
        <w:t>%，主要原因是：</w:t>
      </w:r>
      <w:r>
        <w:rPr>
          <w:rFonts w:hint="eastAsia" w:ascii="仿宋" w:hAnsi="仿宋" w:eastAsia="仿宋"/>
          <w:sz w:val="32"/>
          <w:szCs w:val="32"/>
          <w:lang w:val="en-US" w:eastAsia="zh-CN"/>
        </w:rPr>
        <w:t>2025年公用经费预算同比2024年有所增长</w:t>
      </w:r>
      <w:r>
        <w:rPr>
          <w:rFonts w:hint="eastAsia" w:ascii="仿宋" w:hAnsi="仿宋" w:eastAsia="仿宋"/>
          <w:sz w:val="32"/>
          <w:szCs w:val="32"/>
        </w:rPr>
        <w:t>。</w:t>
      </w:r>
    </w:p>
    <w:p>
      <w:pPr>
        <w:spacing w:line="588" w:lineRule="exact"/>
        <w:ind w:firstLine="0" w:firstLineChars="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100</w:t>
      </w:r>
      <w:r>
        <w:rPr>
          <w:rFonts w:hint="eastAsia" w:ascii="仿宋" w:hAnsi="仿宋" w:eastAsia="仿宋"/>
          <w:sz w:val="32"/>
          <w:szCs w:val="32"/>
        </w:rPr>
        <w:t>平方米，车辆</w:t>
      </w:r>
      <w:r>
        <w:rPr>
          <w:rFonts w:hint="eastAsia" w:ascii="仿宋" w:hAnsi="仿宋" w:eastAsia="仿宋"/>
          <w:sz w:val="32"/>
          <w:szCs w:val="32"/>
          <w:lang w:val="en-US" w:eastAsia="zh-CN"/>
        </w:rPr>
        <w:t>1</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万元，主要是：……。</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28</w:t>
      </w:r>
      <w:r>
        <w:rPr>
          <w:rFonts w:hint="eastAsia" w:ascii="仿宋" w:hAnsi="仿宋" w:eastAsia="仿宋"/>
          <w:sz w:val="32"/>
          <w:szCs w:val="32"/>
        </w:rPr>
        <w:t>个，资金</w:t>
      </w:r>
      <w:r>
        <w:rPr>
          <w:rFonts w:hint="eastAsia" w:ascii="仿宋" w:hAnsi="仿宋" w:eastAsia="仿宋"/>
          <w:sz w:val="32"/>
          <w:szCs w:val="32"/>
          <w:lang w:val="en-US" w:eastAsia="zh-CN"/>
        </w:rPr>
        <w:t>716.74</w:t>
      </w:r>
      <w:r>
        <w:rPr>
          <w:rFonts w:hint="eastAsia" w:ascii="仿宋" w:hAnsi="仿宋" w:eastAsia="仿宋"/>
          <w:sz w:val="32"/>
          <w:szCs w:val="32"/>
        </w:rPr>
        <w:t>万元，实现项目支出绩效目标管理全覆盖。其中本部门重点项目绩效目标情况如下</w:t>
      </w:r>
    </w:p>
    <w:tbl>
      <w:tblPr>
        <w:tblStyle w:val="5"/>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302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7"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7"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pacing w:line="588" w:lineRule="exact"/>
              <w:ind w:firstLine="560" w:firstLineChars="200"/>
              <w:rPr>
                <w:rFonts w:hint="default" w:ascii="仿宋" w:hAnsi="仿宋" w:eastAsia="仿宋"/>
                <w:sz w:val="28"/>
                <w:szCs w:val="32"/>
                <w:lang w:val="en-US" w:eastAsia="zh-CN"/>
              </w:rPr>
            </w:pPr>
          </w:p>
        </w:tc>
        <w:tc>
          <w:tcPr>
            <w:tcW w:w="3027" w:type="dxa"/>
          </w:tcPr>
          <w:p>
            <w:pPr>
              <w:spacing w:line="588" w:lineRule="exact"/>
              <w:ind w:firstLine="560" w:firstLineChars="200"/>
              <w:rPr>
                <w:rFonts w:ascii="仿宋" w:hAnsi="仿宋" w:eastAsia="仿宋"/>
                <w:sz w:val="28"/>
                <w:szCs w:val="32"/>
              </w:rPr>
            </w:pPr>
          </w:p>
        </w:tc>
        <w:tc>
          <w:tcPr>
            <w:tcW w:w="2847"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pacing w:line="588" w:lineRule="exact"/>
              <w:ind w:firstLine="560" w:firstLineChars="200"/>
              <w:rPr>
                <w:rFonts w:ascii="仿宋" w:hAnsi="仿宋" w:eastAsia="仿宋"/>
                <w:sz w:val="28"/>
                <w:szCs w:val="32"/>
              </w:rPr>
            </w:pPr>
          </w:p>
        </w:tc>
        <w:tc>
          <w:tcPr>
            <w:tcW w:w="3027" w:type="dxa"/>
          </w:tcPr>
          <w:p>
            <w:pPr>
              <w:spacing w:line="588" w:lineRule="exact"/>
              <w:ind w:firstLine="560" w:firstLineChars="200"/>
              <w:rPr>
                <w:rFonts w:ascii="仿宋" w:hAnsi="仿宋" w:eastAsia="仿宋"/>
                <w:sz w:val="28"/>
                <w:szCs w:val="32"/>
              </w:rPr>
            </w:pPr>
          </w:p>
        </w:tc>
        <w:tc>
          <w:tcPr>
            <w:tcW w:w="2847"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pacing w:line="588" w:lineRule="exact"/>
              <w:ind w:firstLine="560" w:firstLineChars="200"/>
              <w:rPr>
                <w:rFonts w:ascii="仿宋" w:hAnsi="仿宋" w:eastAsia="仿宋"/>
                <w:sz w:val="28"/>
                <w:szCs w:val="32"/>
              </w:rPr>
            </w:pPr>
          </w:p>
        </w:tc>
        <w:tc>
          <w:tcPr>
            <w:tcW w:w="3027" w:type="dxa"/>
          </w:tcPr>
          <w:p>
            <w:pPr>
              <w:spacing w:line="588" w:lineRule="exact"/>
              <w:ind w:firstLine="560" w:firstLineChars="200"/>
              <w:rPr>
                <w:rFonts w:ascii="仿宋" w:hAnsi="仿宋" w:eastAsia="仿宋"/>
                <w:sz w:val="28"/>
                <w:szCs w:val="32"/>
              </w:rPr>
            </w:pPr>
          </w:p>
        </w:tc>
        <w:tc>
          <w:tcPr>
            <w:tcW w:w="2847"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例如：政府债务情况。</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M2FhN2UwOTgzMTRkYzE4NjVhOGE3Y2M0Nzg0OTYifQ=="/>
  </w:docVars>
  <w:rsids>
    <w:rsidRoot w:val="04F3699A"/>
    <w:rsid w:val="04F3699A"/>
    <w:rsid w:val="570A5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2025-03-13T08:11:00Z</dcterms:created>
  <dc:creator>lenovo-14</dc:creator>
  <cp:lastModifiedBy>bq</cp:lastModifiedBy>
  <dcterms:modified xsi:type="dcterms:W3CDTF">2025-03-13T08:21:39Z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2FB8E0BF68F64D919F8F0ADFC7FA0074</vt:lpwstr>
  </property>
</Properties>
</file>