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highlight w:val="none"/>
          <w:lang w:eastAsia="zh-CN"/>
        </w:rPr>
      </w:pPr>
      <w:bookmarkStart w:id="0" w:name="_GoBack"/>
      <w:bookmarkEnd w:id="0"/>
      <w:r>
        <w:rPr>
          <w:rFonts w:hint="default" w:ascii="Times New Roman" w:hAnsi="Times New Roman" w:eastAsia="方正小标宋简体" w:cs="Times New Roman"/>
          <w:sz w:val="44"/>
          <w:szCs w:val="44"/>
          <w:highlight w:val="none"/>
          <w:lang w:eastAsia="zh-CN"/>
        </w:rPr>
        <w:t>巴青县</w:t>
      </w:r>
      <w:r>
        <w:rPr>
          <w:rFonts w:hint="eastAsia" w:ascii="Times New Roman" w:hAnsi="Times New Roman" w:eastAsia="方正小标宋简体" w:cs="Times New Roman"/>
          <w:sz w:val="44"/>
          <w:szCs w:val="44"/>
          <w:highlight w:val="none"/>
          <w:lang w:eastAsia="zh-CN"/>
        </w:rPr>
        <w:t>档案馆</w:t>
      </w:r>
      <w:r>
        <w:rPr>
          <w:rFonts w:hint="default" w:ascii="Times New Roman" w:hAnsi="Times New Roman" w:eastAsia="方正小标宋简体" w:cs="Times New Roman"/>
          <w:sz w:val="44"/>
          <w:szCs w:val="44"/>
          <w:highlight w:val="none"/>
          <w:lang w:eastAsia="zh-CN"/>
        </w:rPr>
        <w:t>（单位）概况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highlight w:val="none"/>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方正黑体简体" w:cs="Times New Roman"/>
          <w:sz w:val="32"/>
          <w:lang w:val="en-US" w:eastAsia="zh-CN"/>
        </w:rPr>
      </w:pPr>
      <w:r>
        <w:rPr>
          <w:rFonts w:hint="default" w:ascii="Times New Roman" w:hAnsi="Times New Roman" w:eastAsia="方正黑体简体" w:cs="Times New Roman"/>
          <w:sz w:val="32"/>
          <w:lang w:val="en-US" w:eastAsia="zh-CN"/>
        </w:rPr>
        <w:t>主要职责</w:t>
      </w:r>
    </w:p>
    <w:p>
      <w:pPr>
        <w:pStyle w:val="2"/>
        <w:numPr>
          <w:ilvl w:val="0"/>
          <w:numId w:val="0"/>
        </w:numPr>
        <w:rPr>
          <w:rFonts w:hint="default" w:ascii="Times New Roman" w:hAnsi="Times New Roman" w:eastAsia="仿宋" w:cs="Times New Roman"/>
          <w:color w:val="auto"/>
          <w:kern w:val="2"/>
          <w:sz w:val="32"/>
          <w:szCs w:val="32"/>
          <w:lang w:val="en-US" w:eastAsia="zh-CN" w:bidi="ar-SA"/>
        </w:rPr>
      </w:pPr>
      <w:r>
        <w:rPr>
          <w:rFonts w:hint="default"/>
          <w:lang w:val="en" w:eastAsia="zh-CN"/>
        </w:rPr>
        <w:t xml:space="preserve">     </w:t>
      </w:r>
      <w:r>
        <w:rPr>
          <w:rFonts w:hint="default" w:ascii="Times New Roman" w:hAnsi="Times New Roman" w:eastAsia="仿宋" w:cs="Times New Roman"/>
          <w:color w:val="auto"/>
          <w:kern w:val="2"/>
          <w:sz w:val="32"/>
          <w:szCs w:val="32"/>
          <w:lang w:val="en" w:eastAsia="zh-CN" w:bidi="ar-SA"/>
        </w:rPr>
        <w:t xml:space="preserve"> </w:t>
      </w:r>
      <w:r>
        <w:rPr>
          <w:rFonts w:hint="eastAsia" w:ascii="Times New Roman" w:hAnsi="Times New Roman" w:eastAsia="仿宋" w:cs="Times New Roman"/>
          <w:color w:val="auto"/>
          <w:kern w:val="2"/>
          <w:sz w:val="32"/>
          <w:szCs w:val="32"/>
          <w:lang w:val="en" w:eastAsia="zh-CN" w:bidi="ar-SA"/>
        </w:rPr>
        <w:t>集中统一管理党和国家需要长远保管的档案和有关资料，维护历史的真实面貌，为实现社会主义现代化建设和历史的长远需要服务。具体包括：</w:t>
      </w:r>
      <w:r>
        <w:rPr>
          <w:rFonts w:hint="eastAsia" w:ascii="Times New Roman" w:hAnsi="Times New Roman" w:eastAsia="仿宋" w:cs="Times New Roman"/>
          <w:color w:val="auto"/>
          <w:kern w:val="2"/>
          <w:sz w:val="32"/>
          <w:szCs w:val="32"/>
          <w:lang w:val="en-US" w:eastAsia="zh-CN" w:bidi="ar-SA"/>
        </w:rPr>
        <w:t>(一）接收和征集本级各级机关、团体及其所属单位具有长期和永久保存价值的档案以及资料，科学的管理；（二）通过各种方式，积极开展档案资料的利用；（三）参与编史修志的工作。</w:t>
      </w:r>
    </w:p>
    <w:p>
      <w:pPr>
        <w:spacing w:line="588"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部门（单位）机构设置情况</w:t>
      </w:r>
      <w:r>
        <w:rPr>
          <w:rFonts w:hint="default" w:ascii="Times New Roman" w:hAnsi="Times New Roman" w:eastAsia="黑体" w:cs="Times New Roman"/>
          <w:sz w:val="32"/>
          <w:szCs w:val="32"/>
          <w:lang w:eastAsia="zh-CN"/>
        </w:rPr>
        <w:t>是</w:t>
      </w:r>
    </w:p>
    <w:p>
      <w:pPr>
        <w:spacing w:line="588"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仿宋" w:cs="Times New Roman"/>
          <w:sz w:val="32"/>
          <w:szCs w:val="32"/>
          <w:lang w:val="en-US" w:eastAsia="zh-CN"/>
        </w:rPr>
        <w:t>巴青县</w:t>
      </w:r>
      <w:r>
        <w:rPr>
          <w:rFonts w:hint="eastAsia" w:ascii="Times New Roman" w:hAnsi="Times New Roman" w:eastAsia="仿宋" w:cs="Times New Roman"/>
          <w:sz w:val="32"/>
          <w:szCs w:val="32"/>
          <w:lang w:val="en-US" w:eastAsia="zh-CN"/>
        </w:rPr>
        <w:t>档案馆</w:t>
      </w:r>
      <w:r>
        <w:rPr>
          <w:rFonts w:hint="default" w:ascii="Times New Roman" w:hAnsi="Times New Roman" w:eastAsia="仿宋" w:cs="Times New Roman"/>
          <w:sz w:val="32"/>
          <w:szCs w:val="32"/>
          <w:lang w:val="en-US" w:eastAsia="zh-CN"/>
        </w:rPr>
        <w:t>纳入本部门预算汇编范围的独立核算单位共1个。</w:t>
      </w:r>
    </w:p>
    <w:p>
      <w:pPr>
        <w:spacing w:line="588" w:lineRule="exact"/>
        <w:ind w:firstLine="320" w:firstLineChars="1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三、部门预算构成</w:t>
      </w:r>
    </w:p>
    <w:p>
      <w:pPr>
        <w:spacing w:line="588"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本单位无下属单位，部门预算为</w:t>
      </w:r>
      <w:r>
        <w:rPr>
          <w:rFonts w:hint="eastAsia" w:ascii="Times New Roman" w:hAnsi="Times New Roman" w:eastAsia="仿宋" w:cs="Times New Roman"/>
          <w:sz w:val="32"/>
          <w:szCs w:val="32"/>
          <w:lang w:eastAsia="zh-CN"/>
        </w:rPr>
        <w:t>档案馆</w:t>
      </w:r>
      <w:r>
        <w:rPr>
          <w:rFonts w:hint="default" w:ascii="Times New Roman" w:hAnsi="Times New Roman" w:eastAsia="仿宋" w:cs="Times New Roman"/>
          <w:sz w:val="32"/>
          <w:szCs w:val="32"/>
        </w:rPr>
        <w:t>部门预算。</w:t>
      </w:r>
    </w:p>
    <w:p>
      <w:pPr>
        <w:numPr>
          <w:ilvl w:val="0"/>
          <w:numId w:val="0"/>
        </w:numPr>
        <w:spacing w:line="588" w:lineRule="exact"/>
        <w:ind w:firstLine="1600" w:firstLineChars="400"/>
        <w:jc w:val="both"/>
        <w:rPr>
          <w:rFonts w:hint="default" w:ascii="Times New Roman" w:hAnsi="Times New Roman" w:eastAsia="方正小标宋简体" w:cs="Times New Roman"/>
          <w:sz w:val="40"/>
          <w:szCs w:val="32"/>
        </w:rPr>
      </w:pPr>
    </w:p>
    <w:p>
      <w:pPr>
        <w:numPr>
          <w:ilvl w:val="0"/>
          <w:numId w:val="0"/>
        </w:numPr>
        <w:spacing w:line="588" w:lineRule="exact"/>
        <w:ind w:firstLine="2000" w:firstLineChars="500"/>
        <w:jc w:val="both"/>
        <w:rPr>
          <w:rFonts w:hint="default" w:ascii="Times New Roman" w:hAnsi="Times New Roman" w:eastAsia="方正小标宋简体" w:cs="Times New Roman"/>
          <w:sz w:val="40"/>
          <w:szCs w:val="32"/>
        </w:rPr>
      </w:pPr>
      <w:r>
        <w:rPr>
          <w:rFonts w:hint="default" w:ascii="Times New Roman" w:hAnsi="Times New Roman" w:eastAsia="方正小标宋简体" w:cs="Times New Roman"/>
          <w:sz w:val="40"/>
          <w:szCs w:val="32"/>
        </w:rPr>
        <w:t>2025年部门预算情况说明</w:t>
      </w:r>
    </w:p>
    <w:p>
      <w:pPr>
        <w:numPr>
          <w:ilvl w:val="0"/>
          <w:numId w:val="0"/>
        </w:numPr>
        <w:spacing w:line="588" w:lineRule="exact"/>
        <w:jc w:val="both"/>
        <w:rPr>
          <w:rFonts w:hint="default" w:ascii="Times New Roman" w:hAnsi="Times New Roman" w:eastAsia="方正小标宋简体" w:cs="Times New Roman"/>
          <w:sz w:val="40"/>
          <w:szCs w:val="32"/>
        </w:rPr>
      </w:pPr>
    </w:p>
    <w:p>
      <w:pPr>
        <w:spacing w:line="588"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一、部门预算收支增减变化情况</w:t>
      </w:r>
    </w:p>
    <w:p>
      <w:pPr>
        <w:keepNext w:val="0"/>
        <w:keepLines w:val="0"/>
        <w:pageBreakBefore w:val="0"/>
        <w:kinsoku/>
        <w:wordWrap/>
        <w:overflowPunct/>
        <w:topLinePunct w:val="0"/>
        <w:bidi w:val="0"/>
        <w:snapToGrid/>
        <w:spacing w:line="576" w:lineRule="exact"/>
        <w:ind w:firstLine="960" w:firstLineChars="3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2025年本部门收入预算</w:t>
      </w:r>
      <w:r>
        <w:rPr>
          <w:rFonts w:hint="eastAsia" w:ascii="Times New Roman" w:hAnsi="Times New Roman" w:eastAsia="方正仿宋_GBK" w:cs="Times New Roman"/>
          <w:sz w:val="32"/>
          <w:szCs w:val="32"/>
          <w:lang w:val="en-US" w:eastAsia="zh-CN"/>
        </w:rPr>
        <w:t>292.72</w:t>
      </w:r>
      <w:r>
        <w:rPr>
          <w:rFonts w:hint="default" w:ascii="Times New Roman" w:hAnsi="Times New Roman" w:eastAsia="方正仿宋_GBK" w:cs="Times New Roman"/>
          <w:sz w:val="32"/>
          <w:szCs w:val="32"/>
        </w:rPr>
        <w:t>万元，比上年增加</w:t>
      </w:r>
      <w:r>
        <w:rPr>
          <w:rFonts w:hint="eastAsia" w:ascii="Times New Roman" w:hAnsi="Times New Roman" w:eastAsia="方正仿宋_GBK" w:cs="Times New Roman"/>
          <w:sz w:val="32"/>
          <w:szCs w:val="32"/>
          <w:lang w:val="en-US" w:eastAsia="zh-CN"/>
        </w:rPr>
        <w:t>19.35</w:t>
      </w:r>
      <w:r>
        <w:rPr>
          <w:rFonts w:hint="default"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lang w:val="en-US" w:eastAsia="zh-CN"/>
        </w:rPr>
        <w:t>7.1</w:t>
      </w:r>
      <w:r>
        <w:rPr>
          <w:rFonts w:hint="default" w:ascii="Times New Roman" w:hAnsi="Times New Roman" w:eastAsia="方正仿宋_GBK" w:cs="Times New Roman"/>
          <w:sz w:val="32"/>
          <w:szCs w:val="32"/>
        </w:rPr>
        <w:t>%，主要原因是：</w:t>
      </w:r>
      <w:r>
        <w:rPr>
          <w:rFonts w:hint="eastAsia" w:ascii="Times New Roman" w:hAnsi="Times New Roman" w:eastAsia="方正仿宋_GBK" w:cs="Times New Roman"/>
          <w:b/>
          <w:bCs/>
          <w:sz w:val="32"/>
          <w:szCs w:val="32"/>
          <w:lang w:val="en-US" w:eastAsia="zh-CN"/>
        </w:rPr>
        <w:t>一是</w:t>
      </w:r>
      <w:r>
        <w:rPr>
          <w:rFonts w:hint="eastAsia" w:ascii="Times New Roman" w:hAnsi="Times New Roman" w:eastAsia="方正仿宋_GBK" w:cs="Times New Roman"/>
          <w:sz w:val="32"/>
          <w:szCs w:val="32"/>
          <w:lang w:val="en-US" w:eastAsia="zh-CN"/>
        </w:rPr>
        <w:t>单位人员增加，同时2025年人员工资和公用费预算同比2024年有所增加；</w:t>
      </w:r>
      <w:r>
        <w:rPr>
          <w:rFonts w:hint="eastAsia" w:ascii="Times New Roman" w:hAnsi="Times New Roman" w:eastAsia="方正仿宋_GBK" w:cs="Times New Roman"/>
          <w:b/>
          <w:bCs/>
          <w:sz w:val="32"/>
          <w:szCs w:val="32"/>
          <w:lang w:val="en-US" w:eastAsia="zh-CN"/>
        </w:rPr>
        <w:t>二是</w:t>
      </w:r>
      <w:r>
        <w:rPr>
          <w:rFonts w:hint="eastAsia" w:ascii="Times New Roman" w:hAnsi="Times New Roman" w:eastAsia="方正仿宋_GBK" w:cs="Times New Roman"/>
          <w:sz w:val="32"/>
          <w:szCs w:val="32"/>
          <w:lang w:val="en-US" w:eastAsia="zh-CN"/>
        </w:rPr>
        <w:t>比往年项目资金增加；</w:t>
      </w:r>
      <w:r>
        <w:rPr>
          <w:rFonts w:hint="default" w:ascii="Times New Roman" w:hAnsi="Times New Roman" w:eastAsia="方正仿宋_GBK" w:cs="Times New Roman"/>
          <w:sz w:val="32"/>
          <w:szCs w:val="32"/>
          <w:lang w:val="en-US" w:eastAsia="zh-CN"/>
        </w:rPr>
        <w:t>，因此本部门</w:t>
      </w:r>
      <w:r>
        <w:rPr>
          <w:rFonts w:hint="default" w:ascii="Times New Roman" w:hAnsi="Times New Roman" w:eastAsia="仿宋" w:cs="Times New Roman"/>
          <w:sz w:val="32"/>
          <w:szCs w:val="32"/>
          <w:lang w:val="en-US" w:eastAsia="zh-CN"/>
        </w:rPr>
        <w:t>2025</w:t>
      </w:r>
      <w:r>
        <w:rPr>
          <w:rFonts w:hint="eastAsia" w:ascii="Times New Roman" w:hAnsi="Times New Roman" w:eastAsia="仿宋" w:cs="Times New Roman"/>
          <w:sz w:val="32"/>
          <w:szCs w:val="32"/>
          <w:lang w:val="en-US" w:eastAsia="zh-CN"/>
        </w:rPr>
        <w:t>年所有收入增加</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2025年</w:t>
      </w:r>
      <w:r>
        <w:rPr>
          <w:rFonts w:hint="default" w:ascii="Times New Roman" w:hAnsi="Times New Roman" w:eastAsia="方正仿宋_GBK" w:cs="Times New Roman"/>
          <w:sz w:val="32"/>
          <w:szCs w:val="32"/>
        </w:rPr>
        <w:t>支出预算</w:t>
      </w:r>
      <w:r>
        <w:rPr>
          <w:rFonts w:hint="eastAsia" w:ascii="Times New Roman" w:hAnsi="Times New Roman" w:eastAsia="方正仿宋_GBK" w:cs="Times New Roman"/>
          <w:sz w:val="32"/>
          <w:szCs w:val="32"/>
          <w:lang w:val="en-US" w:eastAsia="zh-CN"/>
        </w:rPr>
        <w:t>292.72</w:t>
      </w:r>
      <w:r>
        <w:rPr>
          <w:rFonts w:hint="default" w:ascii="Times New Roman" w:hAnsi="Times New Roman" w:eastAsia="方正仿宋_GBK" w:cs="Times New Roman"/>
          <w:sz w:val="32"/>
          <w:szCs w:val="32"/>
        </w:rPr>
        <w:t>万元，比上年增加</w:t>
      </w:r>
      <w:r>
        <w:rPr>
          <w:rFonts w:hint="eastAsia" w:ascii="Times New Roman" w:hAnsi="Times New Roman" w:eastAsia="方正仿宋_GBK" w:cs="Times New Roman"/>
          <w:sz w:val="32"/>
          <w:szCs w:val="32"/>
          <w:lang w:val="en-US" w:eastAsia="zh-CN"/>
        </w:rPr>
        <w:t>19.35</w:t>
      </w:r>
      <w:r>
        <w:rPr>
          <w:rFonts w:hint="default"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lang w:val="en-US" w:eastAsia="zh-CN"/>
        </w:rPr>
        <w:t>7.1</w:t>
      </w:r>
      <w:r>
        <w:rPr>
          <w:rFonts w:hint="default" w:ascii="Times New Roman" w:hAnsi="Times New Roman" w:eastAsia="方正仿宋_GBK" w:cs="Times New Roman"/>
          <w:sz w:val="32"/>
          <w:szCs w:val="32"/>
        </w:rPr>
        <w:t>%。</w:t>
      </w:r>
    </w:p>
    <w:p>
      <w:pPr>
        <w:spacing w:line="588" w:lineRule="exact"/>
        <w:ind w:firstLine="640" w:firstLineChars="200"/>
        <w:rPr>
          <w:rFonts w:hint="default" w:ascii="黑体" w:hAnsi="黑体" w:eastAsia="黑体"/>
          <w:sz w:val="32"/>
          <w:szCs w:val="32"/>
        </w:rPr>
      </w:pPr>
      <w:r>
        <w:rPr>
          <w:rFonts w:hint="default" w:ascii="黑体" w:hAnsi="黑体" w:eastAsia="黑体"/>
          <w:sz w:val="32"/>
          <w:szCs w:val="32"/>
        </w:rPr>
        <w:t>“三公”经费安排情况</w:t>
      </w:r>
    </w:p>
    <w:p>
      <w:pPr>
        <w:spacing w:line="58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2025年本部门财政拨款安排“三公”经费</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万元，比上年减少</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万元，下降</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经信商务局无“三公”经费。</w:t>
      </w:r>
    </w:p>
    <w:p>
      <w:pPr>
        <w:numPr>
          <w:ilvl w:val="0"/>
          <w:numId w:val="0"/>
        </w:numPr>
        <w:spacing w:line="588" w:lineRule="exact"/>
        <w:ind w:firstLine="640" w:firstLineChars="200"/>
        <w:rPr>
          <w:rFonts w:hint="default" w:ascii="Times New Roman" w:hAnsi="Times New Roman" w:eastAsia="黑体" w:cs="Times New Roman"/>
          <w:sz w:val="32"/>
          <w:szCs w:val="32"/>
        </w:rPr>
      </w:pPr>
      <w:r>
        <w:rPr>
          <w:rFonts w:hint="eastAsia" w:ascii="黑体" w:hAnsi="黑体" w:eastAsia="黑体"/>
          <w:sz w:val="32"/>
          <w:szCs w:val="32"/>
        </w:rPr>
        <w:t>三、机关运行经费安排情况</w:t>
      </w:r>
    </w:p>
    <w:p>
      <w:pPr>
        <w:spacing w:line="588"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年，本部门机关运行经费安排</w:t>
      </w:r>
      <w:r>
        <w:rPr>
          <w:rFonts w:hint="eastAsia" w:ascii="Times New Roman" w:hAnsi="Times New Roman" w:eastAsia="仿宋" w:cs="Times New Roman"/>
          <w:sz w:val="32"/>
          <w:szCs w:val="32"/>
          <w:lang w:val="en-US" w:eastAsia="zh-CN"/>
        </w:rPr>
        <w:t>16</w:t>
      </w:r>
      <w:r>
        <w:rPr>
          <w:rFonts w:hint="default" w:ascii="Times New Roman" w:hAnsi="Times New Roman" w:eastAsia="仿宋" w:cs="Times New Roman"/>
          <w:sz w:val="32"/>
          <w:szCs w:val="32"/>
        </w:rPr>
        <w:t>万元，比上年</w:t>
      </w:r>
      <w:r>
        <w:rPr>
          <w:rFonts w:hint="default" w:ascii="Times New Roman" w:hAnsi="Times New Roman" w:eastAsia="仿宋" w:cs="Times New Roman"/>
          <w:sz w:val="32"/>
          <w:szCs w:val="32"/>
          <w:lang w:val="en-US" w:eastAsia="zh-CN"/>
        </w:rPr>
        <w:t>增加</w:t>
      </w:r>
      <w:r>
        <w:rPr>
          <w:rFonts w:hint="eastAsia" w:ascii="Times New Roman" w:hAnsi="Times New Roman" w:eastAsia="仿宋" w:cs="Times New Roman"/>
          <w:sz w:val="32"/>
          <w:szCs w:val="32"/>
          <w:lang w:val="en-US" w:eastAsia="zh-CN"/>
        </w:rPr>
        <w:t>7.2</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增长</w:t>
      </w:r>
      <w:r>
        <w:rPr>
          <w:rFonts w:hint="eastAsia" w:ascii="Times New Roman" w:hAnsi="Times New Roman" w:eastAsia="仿宋" w:cs="Times New Roman"/>
          <w:sz w:val="32"/>
          <w:szCs w:val="32"/>
          <w:lang w:val="en-US" w:eastAsia="zh-CN"/>
        </w:rPr>
        <w:t>81.8</w:t>
      </w:r>
      <w:r>
        <w:rPr>
          <w:rFonts w:hint="default" w:ascii="Times New Roman" w:hAnsi="Times New Roman" w:eastAsia="仿宋" w:cs="Times New Roman"/>
          <w:sz w:val="32"/>
          <w:szCs w:val="32"/>
        </w:rPr>
        <w:t>%，主要原因是：</w:t>
      </w:r>
      <w:r>
        <w:rPr>
          <w:rFonts w:hint="default" w:ascii="Times New Roman" w:hAnsi="Times New Roman" w:eastAsia="仿宋" w:cs="Times New Roman"/>
          <w:sz w:val="32"/>
          <w:szCs w:val="32"/>
          <w:lang w:val="en-US" w:eastAsia="zh-CN"/>
        </w:rPr>
        <w:t>2025年公用经费预算同比2024年有所增长</w:t>
      </w:r>
      <w:r>
        <w:rPr>
          <w:rFonts w:hint="default" w:ascii="Times New Roman" w:hAnsi="Times New Roman" w:eastAsia="仿宋" w:cs="Times New Roman"/>
          <w:sz w:val="32"/>
          <w:szCs w:val="32"/>
        </w:rPr>
        <w:t>。</w:t>
      </w:r>
    </w:p>
    <w:p>
      <w:pPr>
        <w:spacing w:line="588"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四、政府采购情况</w:t>
      </w:r>
    </w:p>
    <w:p>
      <w:pPr>
        <w:spacing w:line="588"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2025年本部门政府采购安排</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万元，其中：货物类采购预算</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万元，工程类采购预算</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万元，服务类采购预算</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万元等。</w:t>
      </w:r>
    </w:p>
    <w:p>
      <w:pPr>
        <w:spacing w:line="588"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五、国有资产占有使用情况</w:t>
      </w:r>
    </w:p>
    <w:p>
      <w:pPr>
        <w:keepNext w:val="0"/>
        <w:keepLines w:val="0"/>
        <w:pageBreakBefore w:val="0"/>
        <w:kinsoku/>
        <w:wordWrap/>
        <w:overflowPunct/>
        <w:topLinePunct w:val="0"/>
        <w:bidi w:val="0"/>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截至2025年1月2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日，本部门固定资产构成情况为：房屋</w:t>
      </w:r>
      <w:r>
        <w:rPr>
          <w:rFonts w:hint="eastAsia" w:ascii="Times New Roman" w:hAnsi="Times New Roman" w:eastAsia="方正仿宋_GBK" w:cs="Times New Roman"/>
          <w:sz w:val="32"/>
          <w:szCs w:val="32"/>
          <w:lang w:val="en-US" w:eastAsia="zh-CN"/>
        </w:rPr>
        <w:t>200</w:t>
      </w:r>
      <w:r>
        <w:rPr>
          <w:rFonts w:hint="default" w:ascii="Times New Roman" w:hAnsi="Times New Roman" w:eastAsia="方正仿宋_GBK" w:cs="Times New Roman"/>
          <w:sz w:val="32"/>
          <w:szCs w:val="32"/>
        </w:rPr>
        <w:t>平方米，车辆</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辆，单价在50万元以上通用设备</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台（套），单价在100万元以上专用设备</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台（套）。本年度拟购置固定资产</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p>
    <w:p>
      <w:pPr>
        <w:spacing w:line="588"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六、项目绩效目标情况</w:t>
      </w:r>
    </w:p>
    <w:p>
      <w:pPr>
        <w:keepNext w:val="0"/>
        <w:keepLines w:val="0"/>
        <w:pageBreakBefore w:val="0"/>
        <w:kinsoku/>
        <w:wordWrap/>
        <w:overflowPunct/>
        <w:topLinePunct w:val="0"/>
        <w:bidi w:val="0"/>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2025年，实行绩效目标管理项目</w:t>
      </w:r>
      <w:r>
        <w:rPr>
          <w:rFonts w:hint="default" w:ascii="Times New Roman" w:hAnsi="Times New Roman" w:eastAsia="方正仿宋_GBK" w:cs="Times New Roman"/>
          <w:sz w:val="32"/>
          <w:szCs w:val="32"/>
          <w:lang w:val="en-US" w:eastAsia="zh-CN"/>
        </w:rPr>
        <w:t>35</w:t>
      </w:r>
      <w:r>
        <w:rPr>
          <w:rFonts w:hint="default" w:ascii="Times New Roman" w:hAnsi="Times New Roman" w:eastAsia="方正仿宋_GBK" w:cs="Times New Roman"/>
          <w:sz w:val="32"/>
          <w:szCs w:val="32"/>
        </w:rPr>
        <w:t>个，资金</w:t>
      </w:r>
      <w:r>
        <w:rPr>
          <w:rFonts w:hint="default" w:ascii="Times New Roman" w:hAnsi="Times New Roman" w:eastAsia="方正仿宋_GBK" w:cs="Times New Roman"/>
          <w:sz w:val="32"/>
          <w:szCs w:val="32"/>
          <w:lang w:val="en-US" w:eastAsia="zh-CN"/>
        </w:rPr>
        <w:t>1980.9</w:t>
      </w:r>
      <w:r>
        <w:rPr>
          <w:rFonts w:hint="default" w:ascii="Times New Roman" w:hAnsi="Times New Roman" w:eastAsia="方正仿宋_GBK" w:cs="Times New Roman"/>
          <w:sz w:val="32"/>
          <w:szCs w:val="32"/>
        </w:rPr>
        <w:t>万元，实现项目支出绩效目标管理全覆盖。其中本部门重点项目绩效目标情况如下</w:t>
      </w:r>
      <w:r>
        <w:rPr>
          <w:rFonts w:hint="default" w:ascii="Times New Roman" w:hAnsi="Times New Roman" w:eastAsia="方正仿宋_GBK" w:cs="Times New Roman"/>
          <w:sz w:val="32"/>
          <w:szCs w:val="32"/>
          <w:highlight w:val="yellow"/>
        </w:rPr>
        <w:t>（涉密项目除外）</w:t>
      </w:r>
      <w:r>
        <w:rPr>
          <w:rFonts w:hint="default" w:ascii="Times New Roman" w:hAnsi="Times New Roman" w:eastAsia="方正仿宋_GBK" w:cs="Times New Roman"/>
          <w:sz w:val="32"/>
          <w:szCs w:val="32"/>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302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noWrap w:val="0"/>
            <w:vAlign w:val="center"/>
          </w:tcPr>
          <w:p>
            <w:pPr>
              <w:spacing w:line="588" w:lineRule="exact"/>
              <w:ind w:firstLine="560" w:firstLineChars="200"/>
              <w:rPr>
                <w:rFonts w:hint="default" w:ascii="Times New Roman" w:hAnsi="Times New Roman" w:eastAsia="仿宋" w:cs="Times New Roman"/>
                <w:sz w:val="28"/>
                <w:szCs w:val="32"/>
                <w:lang w:eastAsia="zh-CN"/>
              </w:rPr>
            </w:pPr>
            <w:r>
              <w:rPr>
                <w:rFonts w:hint="default" w:ascii="Times New Roman" w:hAnsi="Times New Roman" w:eastAsia="仿宋" w:cs="Times New Roman"/>
                <w:sz w:val="28"/>
                <w:szCs w:val="32"/>
                <w:lang w:eastAsia="zh-CN"/>
              </w:rPr>
              <w:t>重点项目</w:t>
            </w:r>
          </w:p>
        </w:tc>
        <w:tc>
          <w:tcPr>
            <w:tcW w:w="3021" w:type="dxa"/>
            <w:noWrap w:val="0"/>
            <w:vAlign w:val="center"/>
          </w:tcPr>
          <w:p>
            <w:pPr>
              <w:spacing w:line="588" w:lineRule="exact"/>
              <w:ind w:firstLine="560" w:firstLineChars="200"/>
              <w:rPr>
                <w:rFonts w:hint="default" w:ascii="Times New Roman" w:hAnsi="Times New Roman" w:eastAsia="仿宋" w:cs="Times New Roman"/>
                <w:sz w:val="28"/>
                <w:szCs w:val="32"/>
                <w:lang w:eastAsia="zh-CN"/>
              </w:rPr>
            </w:pPr>
            <w:r>
              <w:rPr>
                <w:rFonts w:hint="default" w:ascii="Times New Roman" w:hAnsi="Times New Roman" w:eastAsia="仿宋" w:cs="Times New Roman"/>
                <w:sz w:val="28"/>
                <w:szCs w:val="32"/>
                <w:lang w:eastAsia="zh-CN"/>
              </w:rPr>
              <w:t>预算数（单位：万元）</w:t>
            </w:r>
          </w:p>
        </w:tc>
        <w:tc>
          <w:tcPr>
            <w:tcW w:w="2841" w:type="dxa"/>
            <w:noWrap w:val="0"/>
            <w:vAlign w:val="center"/>
          </w:tcPr>
          <w:p>
            <w:pPr>
              <w:spacing w:line="588" w:lineRule="exact"/>
              <w:ind w:firstLine="560" w:firstLineChars="200"/>
              <w:rPr>
                <w:rFonts w:hint="default" w:ascii="Times New Roman" w:hAnsi="Times New Roman" w:eastAsia="仿宋" w:cs="Times New Roman"/>
                <w:sz w:val="28"/>
                <w:szCs w:val="32"/>
                <w:lang w:eastAsia="zh-CN"/>
              </w:rPr>
            </w:pPr>
            <w:r>
              <w:rPr>
                <w:rFonts w:hint="default" w:ascii="Times New Roman" w:hAnsi="Times New Roman" w:eastAsia="仿宋" w:cs="Times New Roman"/>
                <w:sz w:val="28"/>
                <w:szCs w:val="32"/>
                <w:lang w:eastAsia="zh-CN"/>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noWrap w:val="0"/>
            <w:vAlign w:val="top"/>
          </w:tcPr>
          <w:p>
            <w:pPr>
              <w:spacing w:line="588" w:lineRule="exact"/>
              <w:rPr>
                <w:rFonts w:hint="default" w:ascii="Times New Roman" w:hAnsi="Times New Roman" w:eastAsia="仿宋" w:cs="Times New Roman"/>
                <w:sz w:val="28"/>
                <w:szCs w:val="32"/>
                <w:lang w:eastAsia="zh-CN"/>
              </w:rPr>
            </w:pPr>
            <w:r>
              <w:rPr>
                <w:rFonts w:hint="eastAsia" w:ascii="Times New Roman" w:hAnsi="Times New Roman" w:eastAsia="仿宋" w:cs="Times New Roman"/>
                <w:sz w:val="28"/>
                <w:szCs w:val="32"/>
                <w:lang w:eastAsia="zh-CN"/>
              </w:rPr>
              <w:t>档案日常馆藏经费</w:t>
            </w:r>
          </w:p>
        </w:tc>
        <w:tc>
          <w:tcPr>
            <w:tcW w:w="3021" w:type="dxa"/>
            <w:noWrap w:val="0"/>
            <w:vAlign w:val="top"/>
          </w:tcPr>
          <w:p>
            <w:pPr>
              <w:spacing w:line="588" w:lineRule="exact"/>
              <w:ind w:firstLine="560" w:firstLineChars="200"/>
              <w:rPr>
                <w:rFonts w:hint="default" w:ascii="Times New Roman" w:hAnsi="Times New Roman" w:eastAsia="仿宋" w:cs="Times New Roman"/>
                <w:sz w:val="28"/>
                <w:szCs w:val="32"/>
                <w:lang w:val="en-US" w:eastAsia="zh-CN"/>
              </w:rPr>
            </w:pPr>
            <w:r>
              <w:rPr>
                <w:rFonts w:hint="eastAsia" w:ascii="Times New Roman" w:hAnsi="Times New Roman" w:eastAsia="仿宋" w:cs="Times New Roman"/>
                <w:sz w:val="28"/>
                <w:szCs w:val="32"/>
                <w:lang w:val="en-US" w:eastAsia="zh-CN"/>
              </w:rPr>
              <w:t>15</w:t>
            </w:r>
          </w:p>
        </w:tc>
        <w:tc>
          <w:tcPr>
            <w:tcW w:w="2841" w:type="dxa"/>
            <w:noWrap w:val="0"/>
            <w:vAlign w:val="top"/>
          </w:tcPr>
          <w:p>
            <w:pPr>
              <w:spacing w:line="588" w:lineRule="exact"/>
              <w:rPr>
                <w:rFonts w:hint="default" w:ascii="Times New Roman" w:hAnsi="Times New Roman" w:eastAsia="仿宋" w:cs="Times New Roman"/>
                <w:sz w:val="28"/>
                <w:szCs w:val="32"/>
                <w:lang w:eastAsia="zh-CN"/>
              </w:rPr>
            </w:pPr>
            <w:r>
              <w:rPr>
                <w:rFonts w:hint="default" w:ascii="Times New Roman" w:hAnsi="Times New Roman" w:eastAsia="仿宋" w:cs="Times New Roman"/>
                <w:sz w:val="28"/>
                <w:szCs w:val="32"/>
                <w:lang w:eastAsia="zh-CN"/>
              </w:rPr>
              <w:t>按期完成各项指标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noWrap w:val="0"/>
            <w:vAlign w:val="top"/>
          </w:tcPr>
          <w:p>
            <w:pPr>
              <w:spacing w:line="588" w:lineRule="exact"/>
              <w:rPr>
                <w:rFonts w:hint="default" w:ascii="Times New Roman" w:hAnsi="Times New Roman" w:eastAsia="仿宋" w:cs="Times New Roman"/>
                <w:sz w:val="28"/>
                <w:szCs w:val="32"/>
                <w:lang w:eastAsia="zh-CN"/>
              </w:rPr>
            </w:pPr>
            <w:r>
              <w:rPr>
                <w:rFonts w:hint="eastAsia" w:ascii="Times New Roman" w:hAnsi="Times New Roman" w:eastAsia="仿宋" w:cs="Times New Roman"/>
                <w:sz w:val="28"/>
                <w:szCs w:val="32"/>
                <w:lang w:eastAsia="zh-CN"/>
              </w:rPr>
              <w:t>档案信息化建设项</w:t>
            </w:r>
          </w:p>
        </w:tc>
        <w:tc>
          <w:tcPr>
            <w:tcW w:w="3021" w:type="dxa"/>
            <w:noWrap w:val="0"/>
            <w:vAlign w:val="top"/>
          </w:tcPr>
          <w:p>
            <w:pPr>
              <w:spacing w:line="588" w:lineRule="exact"/>
              <w:ind w:firstLine="560" w:firstLineChars="200"/>
              <w:rPr>
                <w:rFonts w:hint="default" w:ascii="Times New Roman" w:hAnsi="Times New Roman" w:eastAsia="仿宋" w:cs="Times New Roman"/>
                <w:sz w:val="28"/>
                <w:szCs w:val="32"/>
                <w:lang w:val="en-US" w:eastAsia="zh-CN"/>
              </w:rPr>
            </w:pPr>
            <w:r>
              <w:rPr>
                <w:rFonts w:hint="eastAsia" w:ascii="Times New Roman" w:hAnsi="Times New Roman" w:eastAsia="仿宋" w:cs="Times New Roman"/>
                <w:sz w:val="28"/>
                <w:szCs w:val="32"/>
                <w:lang w:val="en-US" w:eastAsia="zh-CN"/>
              </w:rPr>
              <w:t>20</w:t>
            </w:r>
          </w:p>
        </w:tc>
        <w:tc>
          <w:tcPr>
            <w:tcW w:w="2841" w:type="dxa"/>
            <w:noWrap w:val="0"/>
            <w:vAlign w:val="top"/>
          </w:tcPr>
          <w:p>
            <w:pPr>
              <w:spacing w:line="588" w:lineRule="exact"/>
              <w:rPr>
                <w:rFonts w:hint="default" w:ascii="Times New Roman" w:hAnsi="Times New Roman" w:eastAsia="仿宋" w:cs="Times New Roman"/>
                <w:sz w:val="28"/>
                <w:szCs w:val="32"/>
                <w:lang w:eastAsia="zh-CN"/>
              </w:rPr>
            </w:pPr>
            <w:r>
              <w:rPr>
                <w:rFonts w:hint="default" w:ascii="Times New Roman" w:hAnsi="Times New Roman" w:eastAsia="仿宋" w:cs="Times New Roman"/>
                <w:sz w:val="28"/>
                <w:szCs w:val="32"/>
                <w:lang w:eastAsia="zh-CN"/>
              </w:rPr>
              <w:t>按期完成各项指标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noWrap w:val="0"/>
            <w:vAlign w:val="top"/>
          </w:tcPr>
          <w:p>
            <w:pPr>
              <w:spacing w:line="588" w:lineRule="exact"/>
              <w:rPr>
                <w:rFonts w:hint="default" w:ascii="Times New Roman" w:hAnsi="Times New Roman" w:eastAsia="仿宋" w:cs="Times New Roman"/>
                <w:sz w:val="28"/>
                <w:szCs w:val="32"/>
                <w:lang w:eastAsia="zh-CN"/>
              </w:rPr>
            </w:pPr>
            <w:r>
              <w:rPr>
                <w:rFonts w:hint="eastAsia" w:ascii="Times New Roman" w:hAnsi="Times New Roman" w:eastAsia="仿宋" w:cs="Times New Roman"/>
                <w:sz w:val="28"/>
                <w:szCs w:val="32"/>
                <w:lang w:eastAsia="zh-CN"/>
              </w:rPr>
              <w:t>地方志工作经费</w:t>
            </w:r>
          </w:p>
        </w:tc>
        <w:tc>
          <w:tcPr>
            <w:tcW w:w="3021" w:type="dxa"/>
            <w:noWrap w:val="0"/>
            <w:vAlign w:val="top"/>
          </w:tcPr>
          <w:p>
            <w:pPr>
              <w:spacing w:line="588" w:lineRule="exact"/>
              <w:ind w:firstLine="560" w:firstLineChars="200"/>
              <w:rPr>
                <w:rFonts w:hint="default" w:ascii="Times New Roman" w:hAnsi="Times New Roman" w:eastAsia="仿宋" w:cs="Times New Roman"/>
                <w:sz w:val="28"/>
                <w:szCs w:val="32"/>
                <w:lang w:val="en-US" w:eastAsia="zh-CN"/>
              </w:rPr>
            </w:pPr>
            <w:r>
              <w:rPr>
                <w:rFonts w:hint="eastAsia" w:ascii="Times New Roman" w:hAnsi="Times New Roman" w:eastAsia="仿宋" w:cs="Times New Roman"/>
                <w:sz w:val="28"/>
                <w:szCs w:val="32"/>
                <w:lang w:val="en-US" w:eastAsia="zh-CN"/>
              </w:rPr>
              <w:t>17</w:t>
            </w:r>
          </w:p>
        </w:tc>
        <w:tc>
          <w:tcPr>
            <w:tcW w:w="2841" w:type="dxa"/>
            <w:noWrap w:val="0"/>
            <w:vAlign w:val="top"/>
          </w:tcPr>
          <w:p>
            <w:pPr>
              <w:spacing w:line="588" w:lineRule="exact"/>
              <w:rPr>
                <w:rFonts w:hint="default" w:ascii="Times New Roman" w:hAnsi="Times New Roman" w:eastAsia="仿宋" w:cs="Times New Roman"/>
                <w:sz w:val="28"/>
                <w:szCs w:val="32"/>
                <w:lang w:eastAsia="zh-CN"/>
              </w:rPr>
            </w:pPr>
            <w:r>
              <w:rPr>
                <w:rFonts w:hint="default" w:ascii="Times New Roman" w:hAnsi="Times New Roman" w:eastAsia="仿宋" w:cs="Times New Roman"/>
                <w:sz w:val="28"/>
                <w:szCs w:val="32"/>
                <w:lang w:eastAsia="zh-CN"/>
              </w:rPr>
              <w:t>按期完成各项指标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noWrap w:val="0"/>
            <w:vAlign w:val="top"/>
          </w:tcPr>
          <w:p>
            <w:pPr>
              <w:spacing w:line="588" w:lineRule="exact"/>
              <w:rPr>
                <w:rFonts w:hint="default" w:ascii="Times New Roman" w:hAnsi="Times New Roman" w:eastAsia="仿宋" w:cs="Times New Roman"/>
                <w:sz w:val="28"/>
                <w:szCs w:val="32"/>
                <w:lang w:eastAsia="zh-CN"/>
              </w:rPr>
            </w:pPr>
            <w:r>
              <w:rPr>
                <w:rFonts w:hint="eastAsia" w:ascii="Times New Roman" w:hAnsi="Times New Roman" w:eastAsia="仿宋" w:cs="Times New Roman"/>
                <w:sz w:val="28"/>
                <w:szCs w:val="32"/>
                <w:lang w:eastAsia="zh-CN"/>
              </w:rPr>
              <w:t>党史工作经费</w:t>
            </w:r>
          </w:p>
        </w:tc>
        <w:tc>
          <w:tcPr>
            <w:tcW w:w="3021" w:type="dxa"/>
            <w:noWrap w:val="0"/>
            <w:vAlign w:val="top"/>
          </w:tcPr>
          <w:p>
            <w:pPr>
              <w:spacing w:line="588" w:lineRule="exact"/>
              <w:ind w:firstLine="560" w:firstLineChars="200"/>
              <w:rPr>
                <w:rFonts w:hint="default" w:ascii="Times New Roman" w:hAnsi="Times New Roman" w:eastAsia="仿宋" w:cs="Times New Roman"/>
                <w:sz w:val="28"/>
                <w:szCs w:val="32"/>
                <w:lang w:val="en-US" w:eastAsia="zh-CN"/>
              </w:rPr>
            </w:pPr>
            <w:r>
              <w:rPr>
                <w:rFonts w:hint="eastAsia" w:ascii="Times New Roman" w:hAnsi="Times New Roman" w:eastAsia="仿宋" w:cs="Times New Roman"/>
                <w:sz w:val="28"/>
                <w:szCs w:val="32"/>
                <w:lang w:val="en-US" w:eastAsia="zh-CN"/>
              </w:rPr>
              <w:t>7</w:t>
            </w:r>
          </w:p>
        </w:tc>
        <w:tc>
          <w:tcPr>
            <w:tcW w:w="2841" w:type="dxa"/>
            <w:noWrap w:val="0"/>
            <w:vAlign w:val="top"/>
          </w:tcPr>
          <w:p>
            <w:pPr>
              <w:spacing w:line="588" w:lineRule="exact"/>
              <w:rPr>
                <w:rFonts w:hint="default" w:ascii="Times New Roman" w:hAnsi="Times New Roman" w:eastAsia="仿宋" w:cs="Times New Roman"/>
                <w:sz w:val="28"/>
                <w:szCs w:val="32"/>
                <w:lang w:eastAsia="zh-CN"/>
              </w:rPr>
            </w:pPr>
            <w:r>
              <w:rPr>
                <w:rFonts w:hint="default" w:ascii="Times New Roman" w:hAnsi="Times New Roman" w:eastAsia="仿宋" w:cs="Times New Roman"/>
                <w:sz w:val="28"/>
                <w:szCs w:val="32"/>
                <w:lang w:eastAsia="zh-CN"/>
              </w:rPr>
              <w:t>按期完成各项指标</w:t>
            </w:r>
          </w:p>
        </w:tc>
      </w:tr>
    </w:tbl>
    <w:p>
      <w:pPr>
        <w:spacing w:line="588" w:lineRule="exact"/>
        <w:ind w:firstLine="640" w:firstLineChars="200"/>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七、其他需要说明的情况</w:t>
      </w:r>
      <w:r>
        <w:rPr>
          <w:rFonts w:hint="eastAsia" w:ascii="Times New Roman" w:hAnsi="Times New Roman" w:eastAsia="黑体" w:cs="Times New Roman"/>
          <w:sz w:val="32"/>
          <w:szCs w:val="32"/>
          <w:lang w:eastAsia="zh-CN"/>
        </w:rPr>
        <w:t>：</w:t>
      </w:r>
      <w:r>
        <w:rPr>
          <w:rFonts w:hint="eastAsia" w:ascii="方正仿宋_GBK" w:hAnsi="方正仿宋_GBK" w:eastAsia="方正仿宋_GBK" w:cs="方正仿宋_GBK"/>
          <w:sz w:val="32"/>
          <w:szCs w:val="32"/>
          <w:lang w:eastAsia="zh-CN"/>
        </w:rPr>
        <w:t>无</w:t>
      </w:r>
    </w:p>
    <w:p>
      <w:pPr>
        <w:keepNext w:val="0"/>
        <w:keepLines w:val="0"/>
        <w:pageBreakBefore w:val="0"/>
        <w:widowControl/>
        <w:kinsoku/>
        <w:wordWrap/>
        <w:overflowPunct/>
        <w:topLinePunct w:val="0"/>
        <w:bidi w:val="0"/>
        <w:snapToGrid/>
        <w:spacing w:line="576" w:lineRule="exact"/>
        <w:ind w:firstLine="1200" w:firstLineChars="300"/>
        <w:jc w:val="both"/>
        <w:textAlignment w:val="auto"/>
        <w:rPr>
          <w:rFonts w:hint="default" w:ascii="Times New Roman" w:hAnsi="Times New Roman" w:eastAsia="方正小标宋简体" w:cs="Times New Roman"/>
          <w:sz w:val="40"/>
          <w:szCs w:val="32"/>
        </w:rPr>
      </w:pPr>
    </w:p>
    <w:p>
      <w:pPr>
        <w:keepNext w:val="0"/>
        <w:keepLines w:val="0"/>
        <w:pageBreakBefore w:val="0"/>
        <w:kinsoku/>
        <w:wordWrap/>
        <w:overflowPunct/>
        <w:topLinePunct w:val="0"/>
        <w:bidi w:val="0"/>
        <w:snapToGrid/>
        <w:spacing w:line="576" w:lineRule="exact"/>
        <w:ind w:firstLine="1600" w:firstLineChars="400"/>
        <w:textAlignment w:val="auto"/>
        <w:rPr>
          <w:rFonts w:hint="default" w:ascii="Times New Roman" w:hAnsi="Times New Roman" w:eastAsia="方正仿宋_GBK" w:cs="Times New Roman"/>
          <w:sz w:val="32"/>
          <w:szCs w:val="32"/>
        </w:rPr>
      </w:pPr>
      <w:r>
        <w:rPr>
          <w:rFonts w:hint="default" w:ascii="Times New Roman" w:hAnsi="Times New Roman" w:eastAsia="方正小标宋简体" w:cs="Times New Roman"/>
          <w:sz w:val="40"/>
          <w:szCs w:val="32"/>
        </w:rPr>
        <w:t>第四部分  名词解释</w:t>
      </w:r>
    </w:p>
    <w:p>
      <w:pPr>
        <w:keepNext w:val="0"/>
        <w:keepLines w:val="0"/>
        <w:pageBreakBefore w:val="0"/>
        <w:kinsoku/>
        <w:wordWrap/>
        <w:overflowPunct/>
        <w:topLinePunct w:val="0"/>
        <w:bidi w:val="0"/>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一、财政拨款收入：指预算单位从本级财政部门取得的财政预算资金收入。</w:t>
      </w:r>
    </w:p>
    <w:p>
      <w:pPr>
        <w:keepNext w:val="0"/>
        <w:keepLines w:val="0"/>
        <w:pageBreakBefore w:val="0"/>
        <w:kinsoku/>
        <w:wordWrap/>
        <w:overflowPunct/>
        <w:topLinePunct w:val="0"/>
        <w:bidi w:val="0"/>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二、事业收入：指事业单位开展专业业务活动及辅助活动所取得的收入。</w:t>
      </w:r>
    </w:p>
    <w:p>
      <w:pPr>
        <w:keepNext w:val="0"/>
        <w:keepLines w:val="0"/>
        <w:pageBreakBefore w:val="0"/>
        <w:kinsoku/>
        <w:wordWrap/>
        <w:overflowPunct/>
        <w:topLinePunct w:val="0"/>
        <w:bidi w:val="0"/>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三、经营收入：指事业单位在专业业务活动及其辅助活动之外开展非独立核算经营活动取得的收入。</w:t>
      </w:r>
    </w:p>
    <w:p>
      <w:pPr>
        <w:keepNext w:val="0"/>
        <w:keepLines w:val="0"/>
        <w:pageBreakBefore w:val="0"/>
        <w:kinsoku/>
        <w:wordWrap/>
        <w:overflowPunct/>
        <w:topLinePunct w:val="0"/>
        <w:bidi w:val="0"/>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四、其他收入：指除上述“财政拨款收入”、“事业收入”、“经营收入”等以外的收入。主要是非本级财政拨款、存款利息收入、事业单位固定资产出租收入等。</w:t>
      </w:r>
    </w:p>
    <w:p>
      <w:pPr>
        <w:keepNext w:val="0"/>
        <w:keepLines w:val="0"/>
        <w:pageBreakBefore w:val="0"/>
        <w:kinsoku/>
        <w:wordWrap/>
        <w:overflowPunct/>
        <w:topLinePunct w:val="0"/>
        <w:bidi w:val="0"/>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五、上年结转：指以前年度安排、结转到本年仍按原规定用途继续使用的资金。</w:t>
      </w:r>
    </w:p>
    <w:p>
      <w:pPr>
        <w:keepNext w:val="0"/>
        <w:keepLines w:val="0"/>
        <w:pageBreakBefore w:val="0"/>
        <w:kinsoku/>
        <w:wordWrap/>
        <w:overflowPunct/>
        <w:topLinePunct w:val="0"/>
        <w:bidi w:val="0"/>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用事业基金弥补收支差额：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kinsoku/>
        <w:wordWrap/>
        <w:overflowPunct/>
        <w:topLinePunct w:val="0"/>
        <w:bidi w:val="0"/>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七、基本支出：指为保障机构正常运转、完成日常工作任务而发生的人员支出和公用支出。</w:t>
      </w:r>
    </w:p>
    <w:p>
      <w:pPr>
        <w:keepNext w:val="0"/>
        <w:keepLines w:val="0"/>
        <w:pageBreakBefore w:val="0"/>
        <w:kinsoku/>
        <w:wordWrap/>
        <w:overflowPunct/>
        <w:topLinePunct w:val="0"/>
        <w:autoSpaceDE w:val="0"/>
        <w:autoSpaceDN w:val="0"/>
        <w:bidi w:val="0"/>
        <w:adjustRightInd w:val="0"/>
        <w:snapToGrid/>
        <w:spacing w:line="576"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八、项目支出：指在基本支出之外为完成特定行政任务或事业发展目标所发生的支出。</w:t>
      </w:r>
    </w:p>
    <w:p>
      <w:pPr>
        <w:keepNext w:val="0"/>
        <w:keepLines w:val="0"/>
        <w:pageBreakBefore w:val="0"/>
        <w:kinsoku/>
        <w:wordWrap/>
        <w:overflowPunct/>
        <w:topLinePunct w:val="0"/>
        <w:autoSpaceDE w:val="0"/>
        <w:autoSpaceDN w:val="0"/>
        <w:bidi w:val="0"/>
        <w:adjustRightInd w:val="0"/>
        <w:snapToGrid/>
        <w:spacing w:line="576"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九、经营支出：指事业单位在专业业务活动及其辅助活动之外开展非独立核算经营活动发生的支出。</w:t>
      </w:r>
    </w:p>
    <w:p>
      <w:pPr>
        <w:keepNext w:val="0"/>
        <w:keepLines w:val="0"/>
        <w:pageBreakBefore w:val="0"/>
        <w:kinsoku/>
        <w:wordWrap/>
        <w:overflowPunct/>
        <w:topLinePunct w:val="0"/>
        <w:bidi w:val="0"/>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行政经费（机关运行经费）：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keepNext w:val="0"/>
        <w:keepLines w:val="0"/>
        <w:pageBreakBefore w:val="0"/>
        <w:kinsoku/>
        <w:wordWrap/>
        <w:overflowPunct/>
        <w:topLinePunct w:val="0"/>
        <w:autoSpaceDE w:val="0"/>
        <w:autoSpaceDN w:val="0"/>
        <w:bidi w:val="0"/>
        <w:adjustRightInd w:val="0"/>
        <w:snapToGrid/>
        <w:spacing w:line="576"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一、“三公”经费：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keepNext w:val="0"/>
        <w:keepLines w:val="0"/>
        <w:pageBreakBefore w:val="0"/>
        <w:kinsoku/>
        <w:wordWrap/>
        <w:overflowPunct/>
        <w:topLinePunct w:val="0"/>
        <w:bidi w:val="0"/>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十二、重点项目：贯彻落实自治区党委、政府重大方针政策和决策部署的项目，覆盖面广、影响力大、社会关注度高、实施期长的项目，或与本部门职能职责密切相关的项目或预算安排支出相对较大的项目。</w:t>
      </w:r>
    </w:p>
    <w:p>
      <w:pPr>
        <w:keepNext w:val="0"/>
        <w:keepLines w:val="0"/>
        <w:pageBreakBefore w:val="0"/>
        <w:kinsoku/>
        <w:wordWrap/>
        <w:overflowPunct/>
        <w:topLinePunct w:val="0"/>
        <w:bidi w:val="0"/>
        <w:snapToGrid/>
        <w:spacing w:before="17" w:line="576" w:lineRule="exact"/>
        <w:ind w:right="89" w:firstLine="634"/>
        <w:jc w:val="both"/>
        <w:textAlignment w:val="auto"/>
        <w:rPr>
          <w:rFonts w:hint="default" w:ascii="Times New Roman" w:hAnsi="Times New Roman" w:eastAsia="方正仿宋_GBK" w:cs="Times New Roman"/>
          <w:sz w:val="32"/>
          <w:szCs w:val="32"/>
        </w:rPr>
        <w:sectPr>
          <w:footerReference r:id="rId3" w:type="default"/>
          <w:pgSz w:w="11870" w:h="16770"/>
          <w:pgMar w:top="1425" w:right="1415" w:bottom="1807" w:left="1599" w:header="0" w:footer="1499" w:gutter="0"/>
          <w:pgNumType w:fmt="decimal" w:start="1"/>
          <w:cols w:space="720" w:num="1"/>
        </w:sectPr>
      </w:pPr>
    </w:p>
    <w:p>
      <w:pPr>
        <w:keepNext w:val="0"/>
        <w:keepLines w:val="0"/>
        <w:pageBreakBefore w:val="0"/>
        <w:kinsoku/>
        <w:wordWrap/>
        <w:overflowPunct/>
        <w:topLinePunct w:val="0"/>
        <w:bidi w:val="0"/>
        <w:snapToGrid/>
        <w:spacing w:line="576" w:lineRule="exact"/>
        <w:ind w:firstLine="640" w:firstLineChars="200"/>
        <w:textAlignment w:val="auto"/>
        <w:rPr>
          <w:rFonts w:hint="eastAsia" w:ascii="方正仿宋_GBK" w:hAnsi="方正仿宋_GBK" w:eastAsia="方正仿宋_GBK" w:cs="方正仿宋_GBK"/>
          <w:sz w:val="32"/>
          <w:szCs w:val="32"/>
        </w:rPr>
        <w:sectPr>
          <w:footerReference r:id="rId4" w:type="default"/>
          <w:pgSz w:w="11870" w:h="16770"/>
          <w:pgMar w:top="1425" w:right="1415" w:bottom="1807" w:left="1599" w:header="0" w:footer="1499" w:gutter="0"/>
          <w:pgNumType w:fmt="decimal"/>
          <w:cols w:space="720" w:num="1"/>
        </w:sectPr>
      </w:pPr>
    </w:p>
    <w:p>
      <w:pPr>
        <w:keepNext w:val="0"/>
        <w:keepLines w:val="0"/>
        <w:pageBreakBefore w:val="0"/>
        <w:kinsoku/>
        <w:wordWrap/>
        <w:overflowPunct/>
        <w:topLinePunct w:val="0"/>
        <w:autoSpaceDE w:val="0"/>
        <w:autoSpaceDN w:val="0"/>
        <w:bidi w:val="0"/>
        <w:adjustRightInd w:val="0"/>
        <w:snapToGrid/>
        <w:spacing w:line="576" w:lineRule="exact"/>
        <w:ind w:firstLine="640" w:firstLineChars="200"/>
        <w:jc w:val="left"/>
        <w:textAlignment w:val="auto"/>
        <w:rPr>
          <w:rFonts w:hint="eastAsia" w:ascii="方正仿宋_GBK" w:hAnsi="方正仿宋_GBK" w:eastAsia="方正仿宋_GBK" w:cs="方正仿宋_GBK"/>
          <w:sz w:val="32"/>
          <w:szCs w:val="32"/>
        </w:rPr>
        <w:sectPr>
          <w:footerReference r:id="rId5" w:type="default"/>
          <w:pgSz w:w="11870" w:h="16770"/>
          <w:pgMar w:top="1425" w:right="1415" w:bottom="1807" w:left="1599" w:header="0" w:footer="1499" w:gutter="0"/>
          <w:pgNumType w:fmt="decimal"/>
          <w:cols w:space="720" w:num="1"/>
        </w:sectPr>
      </w:pPr>
    </w:p>
    <w:p/>
    <w:sectPr>
      <w:footerReference r:id="rId6"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2000000000000000000"/>
    <w:charset w:val="86"/>
    <w:family w:val="script"/>
    <w:pitch w:val="default"/>
    <w:sig w:usb0="A00002BF" w:usb1="184F6CFA" w:usb2="00000012" w:usb3="00000000" w:csb0="00040001" w:csb1="00000000"/>
  </w:font>
  <w:font w:name="方正黑体简体">
    <w:altName w:val="Arial Unicode MS"/>
    <w:panose1 w:val="02000000000000000000"/>
    <w:charset w:val="86"/>
    <w:family w:val="auto"/>
    <w:pitch w:val="default"/>
    <w:sig w:usb0="A00002BF" w:usb1="184F6CFA" w:usb2="00000012" w:usb3="00000000" w:csb0="00040001" w:csb1="00000000"/>
  </w:font>
  <w:font w:name="方正仿宋_GBK">
    <w:altName w:val="Arial Unicode MS"/>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7410"/>
      <w:rPr>
        <w:rFonts w:ascii="宋体" w:hAnsi="宋体" w:eastAsia="宋体" w:cs="宋体"/>
        <w:sz w:val="31"/>
        <w:szCs w:val="31"/>
      </w:rPr>
    </w:pPr>
    <w:r>
      <w:rPr>
        <w:rFonts w:ascii="宋体" w:hAnsi="宋体" w:eastAsia="宋体" w:cs="宋体"/>
        <w:spacing w:val="-4"/>
        <w:sz w:val="31"/>
        <w:szCs w:val="31"/>
      </w:rPr>
      <w:t>—</w:t>
    </w:r>
    <w:r>
      <w:rPr>
        <w:rFonts w:hint="eastAsia" w:ascii="宋体" w:hAnsi="宋体" w:eastAsia="宋体" w:cs="宋体"/>
        <w:spacing w:val="-4"/>
        <w:sz w:val="31"/>
        <w:szCs w:val="31"/>
        <w:lang w:val="en-US" w:eastAsia="zh-CN"/>
      </w:rPr>
      <w:t>8</w:t>
    </w:r>
    <w:r>
      <w:rPr>
        <w:rFonts w:ascii="宋体" w:hAnsi="宋体" w:eastAsia="宋体" w:cs="宋体"/>
        <w:spacing w:val="-4"/>
        <w:sz w:val="31"/>
        <w:szCs w:val="3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7410"/>
      <w:rPr>
        <w:rFonts w:ascii="宋体" w:hAnsi="宋体" w:eastAsia="宋体" w:cs="宋体"/>
        <w:sz w:val="31"/>
        <w:szCs w:val="31"/>
      </w:rPr>
    </w:pPr>
    <w:r>
      <w:rPr>
        <w:rFonts w:ascii="宋体" w:hAnsi="宋体" w:eastAsia="宋体" w:cs="宋体"/>
        <w:spacing w:val="-4"/>
        <w:sz w:val="31"/>
        <w:szCs w:val="31"/>
      </w:rPr>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7410"/>
      <w:rPr>
        <w:rFonts w:ascii="宋体" w:hAnsi="宋体" w:eastAsia="宋体" w:cs="宋体"/>
        <w:sz w:val="31"/>
        <w:szCs w:val="31"/>
      </w:rPr>
    </w:pPr>
    <w:r>
      <w:rPr>
        <w:rFonts w:ascii="宋体" w:hAnsi="宋体" w:eastAsia="宋体" w:cs="宋体"/>
        <w:spacing w:val="-4"/>
        <w:sz w:val="31"/>
        <w:szCs w:val="31"/>
      </w:rPr>
      <w:t>—9—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7410"/>
      <w:rPr>
        <w:rFonts w:ascii="宋体" w:hAnsi="宋体" w:eastAsia="宋体" w:cs="宋体"/>
        <w:sz w:val="31"/>
        <w:szCs w:val="31"/>
      </w:rPr>
    </w:pPr>
    <w:r>
      <w:rPr>
        <w:rFonts w:ascii="宋体" w:hAnsi="宋体" w:eastAsia="宋体" w:cs="宋体"/>
        <w:spacing w:val="-4"/>
        <w:sz w:val="31"/>
        <w:szCs w:val="31"/>
      </w:rPr>
      <w:t>—9—</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7351AF"/>
    <w:multiLevelType w:val="singleLevel"/>
    <w:tmpl w:val="CF7351A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EDE6DD"/>
    <w:rsid w:val="2B7CCB00"/>
    <w:rsid w:val="2BB7C0D0"/>
    <w:rsid w:val="2BC61CA7"/>
    <w:rsid w:val="2D77292A"/>
    <w:rsid w:val="2DF373C4"/>
    <w:rsid w:val="37EE5E8E"/>
    <w:rsid w:val="38BF5F8A"/>
    <w:rsid w:val="3D7D1AC2"/>
    <w:rsid w:val="3DF7D5A9"/>
    <w:rsid w:val="3EAB0813"/>
    <w:rsid w:val="3F9B52F7"/>
    <w:rsid w:val="50ADDC9E"/>
    <w:rsid w:val="55737A5F"/>
    <w:rsid w:val="57EF9002"/>
    <w:rsid w:val="5A3E448A"/>
    <w:rsid w:val="5DBF5353"/>
    <w:rsid w:val="697EE695"/>
    <w:rsid w:val="6DFFF338"/>
    <w:rsid w:val="71EA5B5A"/>
    <w:rsid w:val="76FF43CF"/>
    <w:rsid w:val="777DBEC0"/>
    <w:rsid w:val="77EF36DD"/>
    <w:rsid w:val="78DF3128"/>
    <w:rsid w:val="7AFD71C3"/>
    <w:rsid w:val="7C4FF96D"/>
    <w:rsid w:val="7D9F1A23"/>
    <w:rsid w:val="7FFDAB74"/>
    <w:rsid w:val="7FFE6151"/>
    <w:rsid w:val="7FFFB400"/>
    <w:rsid w:val="87FF693E"/>
    <w:rsid w:val="A5FC11B9"/>
    <w:rsid w:val="AAFEBC58"/>
    <w:rsid w:val="AF0E3E51"/>
    <w:rsid w:val="AFFF4054"/>
    <w:rsid w:val="B2EF6A55"/>
    <w:rsid w:val="B53FC50F"/>
    <w:rsid w:val="B7EF5F97"/>
    <w:rsid w:val="B7FF215B"/>
    <w:rsid w:val="BEF7A097"/>
    <w:rsid w:val="BFECA808"/>
    <w:rsid w:val="BFF94BBB"/>
    <w:rsid w:val="CF177D7E"/>
    <w:rsid w:val="D5F3F370"/>
    <w:rsid w:val="D7F7C8FE"/>
    <w:rsid w:val="DBBF37DA"/>
    <w:rsid w:val="DBFF38A5"/>
    <w:rsid w:val="DBFF833B"/>
    <w:rsid w:val="DE1F5A26"/>
    <w:rsid w:val="DE7F5E42"/>
    <w:rsid w:val="DFB61C02"/>
    <w:rsid w:val="DFF848A3"/>
    <w:rsid w:val="DFFBC4B8"/>
    <w:rsid w:val="EBD7CA1F"/>
    <w:rsid w:val="EBFBC642"/>
    <w:rsid w:val="EBFBD4DD"/>
    <w:rsid w:val="EC6F6A7E"/>
    <w:rsid w:val="EFF725BB"/>
    <w:rsid w:val="F25F05E3"/>
    <w:rsid w:val="F3BFCFB5"/>
    <w:rsid w:val="F7BFE0EA"/>
    <w:rsid w:val="F7EF5ABC"/>
    <w:rsid w:val="F7FF2B09"/>
    <w:rsid w:val="FADFBBC9"/>
    <w:rsid w:val="FC3F9B17"/>
    <w:rsid w:val="FE7DEA79"/>
    <w:rsid w:val="FEB76EA7"/>
    <w:rsid w:val="FF6C3DE7"/>
    <w:rsid w:val="FF7F3187"/>
    <w:rsid w:val="FFAF5A5F"/>
    <w:rsid w:val="FFBD7F9E"/>
    <w:rsid w:val="FFDDA890"/>
    <w:rsid w:val="FFED0E68"/>
    <w:rsid w:val="FFF7DE37"/>
    <w:rsid w:val="FFFF3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footer"/>
    <w:basedOn w:val="1"/>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39"/>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28.6666666666667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Administrator</cp:lastModifiedBy>
  <dcterms:modified xsi:type="dcterms:W3CDTF">2025-03-20T02:22:03Z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