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cs="宋体"/>
          <w:color w:val="000000"/>
          <w:kern w:val="0"/>
          <w:sz w:val="32"/>
          <w:szCs w:val="32"/>
          <w:lang w:eastAsia="zh-CN"/>
        </w:rPr>
        <w:t>巴青县</w:t>
      </w:r>
      <w:r>
        <w:rPr>
          <w:rFonts w:hint="eastAsia" w:ascii="仿宋" w:hAnsi="仿宋" w:eastAsia="仿宋" w:cs="宋体"/>
          <w:color w:val="000000"/>
          <w:kern w:val="0"/>
          <w:sz w:val="32"/>
          <w:szCs w:val="32"/>
          <w:lang w:val="en-US" w:eastAsia="zh-CN"/>
        </w:rPr>
        <w:t>委办</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巴青县</w:t>
      </w:r>
      <w:r>
        <w:rPr>
          <w:rFonts w:hint="eastAsia" w:ascii="方正小标宋简体" w:hAnsi="仿宋" w:eastAsia="方正小标宋简体"/>
          <w:sz w:val="44"/>
          <w:szCs w:val="44"/>
          <w:lang w:val="en-US" w:eastAsia="zh-CN"/>
        </w:rPr>
        <w:t>委办</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巴青县委办部</w:t>
      </w:r>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eastAsia="zh-CN"/>
        </w:rPr>
        <w:t>巴青</w:t>
      </w:r>
      <w:r>
        <w:rPr>
          <w:rFonts w:hint="eastAsia" w:ascii="方正小标宋简体" w:hAnsi="方正小标宋简体" w:eastAsia="方正小标宋简体" w:cs="方正小标宋简体"/>
          <w:sz w:val="44"/>
          <w:szCs w:val="44"/>
        </w:rPr>
        <w:t>县委员会办公室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职能配置、内设机构和人员编制规定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为规范中共</w:t>
      </w:r>
      <w:r>
        <w:rPr>
          <w:rFonts w:hint="eastAsia" w:ascii="仿宋_GB2312" w:hAnsi="仿宋_GB2312" w:eastAsia="仿宋_GB2312" w:cs="仿宋_GB2312"/>
          <w:sz w:val="32"/>
          <w:szCs w:val="32"/>
          <w:lang w:eastAsia="zh-CN"/>
        </w:rPr>
        <w:t>巴青</w:t>
      </w:r>
      <w:r>
        <w:rPr>
          <w:rFonts w:hint="eastAsia" w:ascii="仿宋_GB2312" w:hAnsi="仿宋_GB2312" w:eastAsia="仿宋_GB2312" w:cs="仿宋_GB2312"/>
          <w:sz w:val="32"/>
          <w:szCs w:val="32"/>
        </w:rPr>
        <w:t>县委员会办公室（以下称</w:t>
      </w:r>
      <w:r>
        <w:rPr>
          <w:rFonts w:hint="eastAsia" w:ascii="仿宋_GB2312" w:hAnsi="仿宋_GB2312" w:eastAsia="仿宋_GB2312" w:cs="仿宋_GB2312"/>
          <w:color w:val="000000"/>
          <w:sz w:val="32"/>
          <w:szCs w:val="32"/>
        </w:rPr>
        <w:t>县委办公室）的职能配置、内设机构和人员编制，推进机构、职能、权限、程序、责任法定化，根据《中国共产党机构编制工作条例》《</w:t>
      </w:r>
      <w:r>
        <w:rPr>
          <w:rFonts w:hint="eastAsia" w:ascii="仿宋_GB2312" w:hAnsi="仿宋_GB2312" w:eastAsia="仿宋_GB2312" w:cs="仿宋_GB2312"/>
          <w:color w:val="000000"/>
          <w:sz w:val="32"/>
          <w:szCs w:val="32"/>
          <w:lang w:eastAsia="zh-CN"/>
        </w:rPr>
        <w:t>巴青</w:t>
      </w:r>
      <w:r>
        <w:rPr>
          <w:rFonts w:hint="eastAsia" w:ascii="仿宋_GB2312" w:hAnsi="仿宋_GB2312" w:eastAsia="仿宋_GB2312" w:cs="仿宋_GB2312"/>
          <w:color w:val="000000"/>
          <w:sz w:val="32"/>
          <w:szCs w:val="32"/>
        </w:rPr>
        <w:t>县机构改革方案》以及县委对办公室工作有关要求，制定本规定。</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第二条</w:t>
      </w:r>
      <w:r>
        <w:rPr>
          <w:rFonts w:hint="eastAsia" w:ascii="仿宋_GB2312" w:hAnsi="仿宋_GB2312" w:eastAsia="仿宋_GB2312" w:cs="仿宋_GB2312"/>
          <w:color w:val="000000"/>
          <w:sz w:val="32"/>
          <w:szCs w:val="32"/>
        </w:rPr>
        <w:t xml:space="preserve">  县委办公室是县委的综合部门，为正科级。</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中共巴青</w:t>
      </w:r>
      <w:r>
        <w:rPr>
          <w:rFonts w:hint="eastAsia" w:ascii="仿宋_GB2312" w:hAnsi="仿宋_GB2312" w:eastAsia="仿宋_GB2312" w:cs="仿宋_GB2312"/>
          <w:color w:val="000000"/>
          <w:sz w:val="32"/>
          <w:szCs w:val="32"/>
        </w:rPr>
        <w:t>县委办公室加挂</w:t>
      </w:r>
      <w:r>
        <w:rPr>
          <w:rFonts w:hint="eastAsia" w:ascii="仿宋_GB2312" w:hAnsi="仿宋_GB2312" w:eastAsia="仿宋_GB2312" w:cs="仿宋_GB2312"/>
          <w:color w:val="000000"/>
          <w:kern w:val="0"/>
          <w:sz w:val="32"/>
          <w:szCs w:val="32"/>
        </w:rPr>
        <w:t>中共</w:t>
      </w:r>
      <w:r>
        <w:rPr>
          <w:rFonts w:hint="eastAsia" w:ascii="仿宋_GB2312" w:hAnsi="仿宋_GB2312" w:eastAsia="仿宋_GB2312" w:cs="仿宋_GB2312"/>
          <w:color w:val="000000"/>
          <w:kern w:val="0"/>
          <w:sz w:val="32"/>
          <w:szCs w:val="32"/>
          <w:lang w:eastAsia="zh-CN"/>
        </w:rPr>
        <w:t>巴青</w:t>
      </w:r>
      <w:r>
        <w:rPr>
          <w:rFonts w:hint="eastAsia" w:ascii="仿宋_GB2312" w:hAnsi="仿宋_GB2312" w:eastAsia="仿宋_GB2312" w:cs="仿宋_GB2312"/>
          <w:color w:val="000000"/>
          <w:kern w:val="0"/>
          <w:sz w:val="32"/>
          <w:szCs w:val="32"/>
          <w:lang w:val="zh-CN"/>
        </w:rPr>
        <w:t>县</w:t>
      </w:r>
      <w:r>
        <w:rPr>
          <w:rFonts w:hint="eastAsia" w:ascii="仿宋_GB2312" w:hAnsi="仿宋_GB2312" w:eastAsia="仿宋_GB2312" w:cs="仿宋_GB2312"/>
          <w:color w:val="000000"/>
          <w:kern w:val="0"/>
          <w:sz w:val="32"/>
          <w:szCs w:val="32"/>
        </w:rPr>
        <w:t>委员会</w:t>
      </w:r>
      <w:r>
        <w:rPr>
          <w:rFonts w:hint="eastAsia" w:ascii="仿宋_GB2312" w:hAnsi="仿宋_GB2312" w:eastAsia="仿宋_GB2312" w:cs="仿宋_GB2312"/>
          <w:color w:val="000000"/>
          <w:sz w:val="32"/>
          <w:szCs w:val="32"/>
        </w:rPr>
        <w:t>机要保密局、</w:t>
      </w:r>
      <w:r>
        <w:rPr>
          <w:rFonts w:hint="eastAsia" w:ascii="仿宋_GB2312" w:hAnsi="仿宋_GB2312" w:eastAsia="仿宋_GB2312" w:cs="仿宋_GB2312"/>
          <w:color w:val="000000"/>
          <w:sz w:val="32"/>
          <w:szCs w:val="32"/>
          <w:lang w:eastAsia="zh-CN"/>
        </w:rPr>
        <w:t>巴青</w:t>
      </w:r>
      <w:r>
        <w:rPr>
          <w:rFonts w:hint="eastAsia" w:ascii="仿宋_GB2312" w:hAnsi="仿宋_GB2312" w:eastAsia="仿宋_GB2312" w:cs="仿宋_GB2312"/>
          <w:color w:val="000000"/>
          <w:sz w:val="32"/>
          <w:szCs w:val="32"/>
        </w:rPr>
        <w:t>县密码管理局、</w:t>
      </w:r>
      <w:r>
        <w:rPr>
          <w:rFonts w:hint="eastAsia" w:ascii="仿宋_GB2312" w:hAnsi="仿宋_GB2312" w:eastAsia="仿宋_GB2312" w:cs="仿宋_GB2312"/>
          <w:color w:val="000000"/>
          <w:kern w:val="0"/>
          <w:sz w:val="32"/>
          <w:szCs w:val="32"/>
        </w:rPr>
        <w:t>中共</w:t>
      </w:r>
      <w:r>
        <w:rPr>
          <w:rFonts w:hint="eastAsia" w:ascii="仿宋_GB2312" w:hAnsi="仿宋_GB2312" w:eastAsia="仿宋_GB2312" w:cs="仿宋_GB2312"/>
          <w:color w:val="000000"/>
          <w:kern w:val="0"/>
          <w:sz w:val="32"/>
          <w:szCs w:val="32"/>
          <w:lang w:eastAsia="zh-CN"/>
        </w:rPr>
        <w:t>巴青</w:t>
      </w:r>
      <w:r>
        <w:rPr>
          <w:rFonts w:hint="eastAsia" w:ascii="仿宋_GB2312" w:hAnsi="仿宋_GB2312" w:eastAsia="仿宋_GB2312" w:cs="仿宋_GB2312"/>
          <w:color w:val="000000"/>
          <w:kern w:val="0"/>
          <w:sz w:val="32"/>
          <w:szCs w:val="32"/>
          <w:lang w:val="zh-CN"/>
        </w:rPr>
        <w:t>县</w:t>
      </w:r>
      <w:r>
        <w:rPr>
          <w:rFonts w:hint="eastAsia" w:ascii="仿宋_GB2312" w:hAnsi="仿宋_GB2312" w:eastAsia="仿宋_GB2312" w:cs="仿宋_GB2312"/>
          <w:color w:val="000000"/>
          <w:kern w:val="0"/>
          <w:sz w:val="32"/>
          <w:szCs w:val="32"/>
        </w:rPr>
        <w:t>委员会</w:t>
      </w:r>
      <w:r>
        <w:rPr>
          <w:rFonts w:hint="eastAsia" w:ascii="仿宋_GB2312" w:hAnsi="仿宋_GB2312" w:eastAsia="仿宋_GB2312" w:cs="仿宋_GB2312"/>
          <w:color w:val="000000"/>
          <w:sz w:val="32"/>
          <w:szCs w:val="32"/>
        </w:rPr>
        <w:t>保密委员会办公室、</w:t>
      </w:r>
      <w:r>
        <w:rPr>
          <w:rFonts w:hint="eastAsia" w:ascii="仿宋_GB2312" w:hAnsi="仿宋_GB2312" w:eastAsia="仿宋_GB2312" w:cs="仿宋_GB2312"/>
          <w:color w:val="000000"/>
          <w:sz w:val="32"/>
          <w:szCs w:val="32"/>
          <w:lang w:eastAsia="zh-CN"/>
        </w:rPr>
        <w:t>巴青</w:t>
      </w:r>
      <w:r>
        <w:rPr>
          <w:rFonts w:hint="eastAsia" w:ascii="仿宋_GB2312" w:hAnsi="仿宋_GB2312" w:eastAsia="仿宋_GB2312" w:cs="仿宋_GB2312"/>
          <w:color w:val="000000"/>
          <w:sz w:val="32"/>
          <w:szCs w:val="32"/>
        </w:rPr>
        <w:t>县国家保密局、</w:t>
      </w:r>
      <w:r>
        <w:rPr>
          <w:rFonts w:hint="eastAsia" w:ascii="仿宋_GB2312" w:hAnsi="仿宋_GB2312" w:eastAsia="仿宋_GB2312" w:cs="仿宋_GB2312"/>
          <w:color w:val="000000"/>
          <w:sz w:val="32"/>
          <w:szCs w:val="32"/>
          <w:lang w:eastAsia="zh-CN"/>
        </w:rPr>
        <w:t>巴青</w:t>
      </w:r>
      <w:r>
        <w:rPr>
          <w:rFonts w:hint="eastAsia" w:ascii="仿宋_GB2312" w:hAnsi="仿宋_GB2312" w:eastAsia="仿宋_GB2312" w:cs="仿宋_GB2312"/>
          <w:color w:val="000000"/>
          <w:sz w:val="32"/>
          <w:szCs w:val="32"/>
        </w:rPr>
        <w:t>县档案局牌子。</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管理县档案馆。</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w:t>
      </w:r>
      <w:r>
        <w:rPr>
          <w:rFonts w:hint="eastAsia" w:ascii="仿宋_GB2312" w:hAnsi="仿宋_GB2312" w:eastAsia="仿宋_GB2312" w:cs="仿宋_GB2312"/>
          <w:color w:val="000000"/>
          <w:sz w:val="32"/>
          <w:szCs w:val="32"/>
          <w:lang w:eastAsia="zh-CN"/>
        </w:rPr>
        <w:t>巴青</w:t>
      </w:r>
      <w:r>
        <w:rPr>
          <w:rFonts w:hint="eastAsia" w:ascii="仿宋_GB2312" w:hAnsi="仿宋_GB2312" w:eastAsia="仿宋_GB2312" w:cs="仿宋_GB2312"/>
          <w:color w:val="000000"/>
          <w:sz w:val="32"/>
          <w:szCs w:val="32"/>
        </w:rPr>
        <w:t>县委员会全面深化改革委员会办公室（以下称县委改革办）是中共</w:t>
      </w:r>
      <w:r>
        <w:rPr>
          <w:rFonts w:hint="eastAsia" w:ascii="仿宋_GB2312" w:hAnsi="仿宋_GB2312" w:eastAsia="仿宋_GB2312" w:cs="仿宋_GB2312"/>
          <w:color w:val="000000"/>
          <w:sz w:val="32"/>
          <w:szCs w:val="32"/>
          <w:lang w:eastAsia="zh-CN"/>
        </w:rPr>
        <w:t>巴青</w:t>
      </w:r>
      <w:r>
        <w:rPr>
          <w:rFonts w:hint="eastAsia" w:ascii="仿宋_GB2312" w:hAnsi="仿宋_GB2312" w:eastAsia="仿宋_GB2312" w:cs="仿宋_GB2312"/>
          <w:color w:val="000000"/>
          <w:sz w:val="32"/>
          <w:szCs w:val="32"/>
        </w:rPr>
        <w:t>县委员会全面深化改革委员会（以下称县委改革委）的办事机构，设在县委办公室。</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本规定确定的主要职责、机构设置、人员编制等，是县委办公室机构职责权限、人员配备和工作运行的基本依据。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rPr>
        <w:t xml:space="preserve"> 县委办公室负责贯彻落实党中央关于办公</w:t>
      </w:r>
      <w:r>
        <w:rPr>
          <w:rFonts w:hint="eastAsia" w:ascii="仿宋_GB2312" w:hAnsi="仿宋_GB2312" w:eastAsia="仿宋_GB2312" w:cs="仿宋_GB2312"/>
          <w:color w:val="000000"/>
          <w:sz w:val="32"/>
          <w:szCs w:val="32"/>
          <w:highlight w:val="none"/>
        </w:rPr>
        <w:t>厅</w:t>
      </w:r>
      <w:r>
        <w:rPr>
          <w:rFonts w:hint="eastAsia" w:ascii="仿宋_GB2312" w:hAnsi="仿宋_GB2312" w:eastAsia="仿宋_GB2312" w:cs="仿宋_GB2312"/>
          <w:color w:val="000000"/>
          <w:sz w:val="32"/>
          <w:szCs w:val="32"/>
        </w:rPr>
        <w:t>工作的方针政策及自治区党委、市委、县委工作要求，把坚持党对办公室工作的领导落实到履行职责过程中，聚焦“四件大事”聚力“四个创建”，紧扣“四个示范市”战略任务，坚持绝对忠诚的政治品格，坚持高度自觉的大局意识，坚持极端负责的工作作风，坚持无怨无悔的奉献精神，坚持廉洁自律的道德操守，高标准、高质量做好“三服务”工作。主要职责是：</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（一）负责起草或组织起草以县委或县委办公室名义向市委或市委办公室报送的综合性材料，</w:t>
      </w:r>
      <w:r>
        <w:rPr>
          <w:rFonts w:hint="eastAsia" w:ascii="仿宋_GB2312" w:hAnsi="仿宋_GB2312" w:eastAsia="仿宋_GB2312" w:cs="仿宋_GB2312"/>
          <w:color w:val="000000"/>
          <w:sz w:val="32"/>
          <w:szCs w:val="32"/>
          <w:lang w:val="en-US" w:eastAsia="zh-CN"/>
        </w:rPr>
        <w:t>根据授权，</w:t>
      </w:r>
      <w:r>
        <w:rPr>
          <w:rFonts w:hint="eastAsia" w:ascii="仿宋_GB2312" w:hAnsi="仿宋_GB2312" w:eastAsia="仿宋_GB2312" w:cs="仿宋_GB2312"/>
          <w:color w:val="000000"/>
          <w:sz w:val="32"/>
          <w:szCs w:val="32"/>
        </w:rPr>
        <w:t>负责起草或组织起草以县委或县委办公室名义印发的党内法规性文件，负责县委和县委领导同志的文稿服务工作，负责以县委和县委、政府或以县委办公室和县委办公室、县政府办公室名义上报下发的各类文件、电报的审核、印制工作，保证县委日常工作正常运转。</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（二）负责党中央方针政策</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rPr>
        <w:t>自治区党委、市委、县委工作部署、会议和文件精神贯彻落实情况的督促检查，负责县委领导同志指示批示落实情况的督办，统筹协调党委系统人大代表建议、政协提案办复工作。</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围绕县委中心工作和重点任务，开展调查研究，进行信息综合，为县委决策部署提供依据和参考。负责向自治区党委、市委及县委报送信息工作，负责县委及办公室文件、县委领导同志讲话稿的翻译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（四）贯彻落实党中央关于全面深化改革工作的方针政策</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rPr>
        <w:t>自治区党委、市委、县委的决策部署，贯彻落实县委对全面深化改革工作的统一领导，负责处理县委改革委的日常事务。</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（五）负责县委常委会会议、书记专题会议和其他以县委名义召开的重要会议的会务工作，负责协调安排县委领导的各类公务活动。</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highlight w:val="none"/>
        </w:rPr>
        <w:t>负责县委总值班工作，</w:t>
      </w:r>
      <w:r>
        <w:rPr>
          <w:rFonts w:hint="eastAsia" w:ascii="仿宋_GB2312" w:hAnsi="仿宋_GB2312" w:eastAsia="仿宋_GB2312" w:cs="仿宋_GB2312"/>
          <w:color w:val="000000"/>
          <w:sz w:val="32"/>
          <w:szCs w:val="32"/>
        </w:rPr>
        <w:t>及时向县委领导同志报告重要情况，协助处理重要问题，承办县委文电、机要档案等工作。负责</w:t>
      </w:r>
      <w:r>
        <w:rPr>
          <w:rFonts w:hint="eastAsia" w:ascii="仿宋_GB2312" w:hAnsi="仿宋_GB2312" w:eastAsia="仿宋_GB2312" w:cs="仿宋_GB2312"/>
          <w:color w:val="000000"/>
          <w:sz w:val="32"/>
          <w:szCs w:val="32"/>
          <w:highlight w:val="none"/>
        </w:rPr>
        <w:t>县委与市委有关工作机关、</w:t>
      </w:r>
      <w:r>
        <w:rPr>
          <w:rFonts w:hint="eastAsia" w:ascii="仿宋_GB2312" w:hAnsi="仿宋_GB2312" w:eastAsia="仿宋_GB2312" w:cs="仿宋_GB2312"/>
          <w:color w:val="000000"/>
          <w:sz w:val="32"/>
          <w:szCs w:val="32"/>
        </w:rPr>
        <w:t>各县（区）委的协调联络工作，协调县人大常委会、政府、政协办公室工作。</w:t>
      </w:r>
      <w:r>
        <w:rPr>
          <w:rFonts w:hint="eastAsia" w:ascii="仿宋_GB2312" w:hAnsi="仿宋_GB2312" w:eastAsia="仿宋_GB2312" w:cs="仿宋_GB2312"/>
          <w:color w:val="auto"/>
          <w:sz w:val="32"/>
          <w:szCs w:val="32"/>
          <w:highlight w:val="none"/>
          <w:u w:val="none"/>
        </w:rPr>
        <w:t>负责县委及办公室后勤、行政事务等服务保障工作。</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（七）负责全县档案工作的统筹规划、宏观管理，对全县档案工作进行监督检查和业务指导。负责县（中、区、市）直机关、群团机关、企事业单位档案的接收、整理、保管、利用工作。</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负责组织贯彻落实密码工作方针政策和上级工作部署，研究提出解决全县密码工作重要问题的建议。负责全县密码的装备、使用和管理，组织查处全县密码失泄窃密等违法违规行为。负责全县信息化密码保障体系的规划、建设和管理，组织实施信息化密码保障工作。组织实施全县密码通信工作和密码通信网络、全县党委系统信息化工作。</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（九）负责县委文件和党政军机关及其要害部门核心秘密文件和物件的安全传递工作。</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（十）负责全县保密工作规划、宣传教育、监督管理和失窃泄密案件查处工作。负责涉密通信、计算机信息系统的技术防范和审批管理工作。</w:t>
      </w:r>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（十一）统筹协调有关方面提出的全县中长期改革规划建议、改革方案和措施、年度工作要点。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（十二）协调、督促有关方面落实县委和县委改革委的决定事项、工作部署和要求。总结宣传改革工作经验。筹备组织县委改革委相关会议，组织起草有关重要文件和重要文稿。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（十三）</w:t>
      </w:r>
      <w:r>
        <w:rPr>
          <w:rFonts w:hint="eastAsia" w:ascii="仿宋_GB2312" w:hAnsi="仿宋_GB2312" w:eastAsia="仿宋_GB2312" w:cs="仿宋_GB2312"/>
          <w:color w:val="000000"/>
          <w:sz w:val="32"/>
          <w:szCs w:val="32"/>
          <w:lang w:val="en-US" w:eastAsia="zh-CN"/>
        </w:rPr>
        <w:t>拟订全县党史工作规划并组织实施。负责重要党史资料的征集、整理、研究、编纂工作。研究、编纂地方党史专著，编辑出版重要党史书刊。负责对重要党史文章、书报、刊物等进行审核把关。开展党的历史、党的领袖人物及老一辈革命家精神风范的研究宣传教育工作，协同有关部门组织开展革命传统教育和爱国主义教育。组织、指导、督促和检查全县党史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（十四）</w:t>
      </w:r>
      <w:r>
        <w:rPr>
          <w:rFonts w:hint="eastAsia" w:ascii="仿宋_GB2312" w:hAnsi="仿宋_GB2312" w:eastAsia="仿宋_GB2312" w:cs="仿宋_GB2312"/>
          <w:color w:val="000000"/>
          <w:sz w:val="32"/>
          <w:szCs w:val="32"/>
          <w:lang w:val="en-US" w:eastAsia="zh-CN"/>
        </w:rPr>
        <w:t>拟订全县地方志工作规划和编纂方案并组织实施。负责地方志书、地方综合年鉴的编纂、审稿、出版等工作。搜集、整理、保存地方志文献和资料。组织开发利用地方志资源。组织、指导、督促和检查全县地方志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）完成县委交办的其他任务。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rPr>
        <w:t xml:space="preserve"> 县委办公室机关行政编制</w:t>
      </w:r>
      <w:r>
        <w:rPr>
          <w:rFonts w:hint="default" w:ascii="Times New Roman" w:hAnsi="Times New Roman" w:eastAsia="仿宋_GB2312" w:cs="Times New Roman"/>
          <w:color w:val="000000"/>
          <w:sz w:val="32"/>
          <w:szCs w:val="32"/>
          <w:lang w:val="en" w:eastAsia="zh-CN"/>
        </w:rPr>
        <w:t>6</w:t>
      </w:r>
      <w:r>
        <w:rPr>
          <w:rFonts w:hint="default" w:ascii="Times New Roman" w:hAnsi="Times New Roman" w:eastAsia="仿宋_GB2312" w:cs="Times New Roman"/>
          <w:color w:val="000000"/>
          <w:sz w:val="32"/>
          <w:szCs w:val="32"/>
        </w:rPr>
        <w:t>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设主任1名、副</w:t>
      </w:r>
      <w:r>
        <w:rPr>
          <w:rFonts w:hint="eastAsia" w:ascii="Times New Roman" w:hAnsi="Times New Roman" w:eastAsia="仿宋_GB2312" w:cs="Times New Roman"/>
          <w:sz w:val="32"/>
          <w:szCs w:val="32"/>
          <w:lang w:eastAsia="zh-CN"/>
        </w:rPr>
        <w:t>主任</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名（分管日常工作的副主任</w:t>
      </w:r>
      <w:r>
        <w:rPr>
          <w:rFonts w:hint="eastAsia" w:ascii="Times New Roman" w:hAnsi="Times New Roman" w:eastAsia="仿宋_GB2312" w:cs="Times New Roman"/>
          <w:sz w:val="32"/>
          <w:szCs w:val="32"/>
          <w:lang w:val="en-US" w:eastAsia="zh-CN"/>
        </w:rPr>
        <w:t>和兼任</w:t>
      </w:r>
      <w:r>
        <w:rPr>
          <w:rFonts w:hint="default" w:ascii="仿宋_GB2312" w:hAnsi="仿宋_GB2312" w:eastAsia="仿宋_GB2312" w:cs="仿宋_GB2312"/>
          <w:color w:val="000000"/>
          <w:sz w:val="32"/>
          <w:szCs w:val="32"/>
        </w:rPr>
        <w:t>县委</w:t>
      </w:r>
      <w:r>
        <w:rPr>
          <w:rFonts w:hint="default" w:ascii="仿宋_GB2312" w:hAnsi="仿宋_GB2312" w:eastAsia="仿宋_GB2312" w:cs="仿宋_GB2312"/>
          <w:color w:val="000000"/>
          <w:sz w:val="32"/>
          <w:szCs w:val="32"/>
          <w:lang w:val="en-US" w:eastAsia="zh-CN"/>
        </w:rPr>
        <w:t>机要保密局</w:t>
      </w:r>
      <w:r>
        <w:rPr>
          <w:rFonts w:hint="eastAsia" w:ascii="仿宋_GB2312" w:hAnsi="仿宋_GB2312" w:eastAsia="仿宋_GB2312" w:cs="仿宋_GB2312"/>
          <w:color w:val="000000"/>
          <w:sz w:val="32"/>
          <w:szCs w:val="32"/>
          <w:lang w:val="en-US" w:eastAsia="zh-CN"/>
        </w:rPr>
        <w:t>局长</w:t>
      </w:r>
      <w:r>
        <w:rPr>
          <w:rFonts w:hint="default" w:ascii="仿宋_GB2312" w:hAnsi="仿宋_GB2312" w:eastAsia="仿宋_GB2312" w:cs="仿宋_GB2312"/>
          <w:color w:val="000000"/>
          <w:sz w:val="32"/>
          <w:szCs w:val="32"/>
          <w:lang w:val="en-US" w:eastAsia="zh-CN"/>
        </w:rPr>
        <w:t>、县密码管理局</w:t>
      </w:r>
      <w:r>
        <w:rPr>
          <w:rFonts w:hint="eastAsia" w:ascii="仿宋_GB2312" w:hAnsi="仿宋_GB2312" w:eastAsia="仿宋_GB2312" w:cs="仿宋_GB2312"/>
          <w:color w:val="000000"/>
          <w:sz w:val="32"/>
          <w:szCs w:val="32"/>
          <w:lang w:val="en-US" w:eastAsia="zh-CN"/>
        </w:rPr>
        <w:t>局长</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县委</w:t>
      </w:r>
      <w:r>
        <w:rPr>
          <w:rFonts w:hint="default" w:ascii="仿宋_GB2312" w:hAnsi="仿宋_GB2312" w:eastAsia="仿宋_GB2312" w:cs="仿宋_GB2312"/>
          <w:color w:val="000000"/>
          <w:sz w:val="32"/>
          <w:szCs w:val="32"/>
          <w:lang w:val="en-US" w:eastAsia="zh-CN"/>
        </w:rPr>
        <w:t>保密委员会办公室</w:t>
      </w:r>
      <w:r>
        <w:rPr>
          <w:rFonts w:hint="eastAsia" w:ascii="仿宋_GB2312" w:hAnsi="仿宋_GB2312" w:eastAsia="仿宋_GB2312" w:cs="仿宋_GB2312"/>
          <w:color w:val="000000"/>
          <w:sz w:val="32"/>
          <w:szCs w:val="32"/>
          <w:lang w:val="en-US" w:eastAsia="zh-CN"/>
        </w:rPr>
        <w:t>主任</w:t>
      </w:r>
      <w:r>
        <w:rPr>
          <w:rFonts w:hint="default" w:ascii="仿宋_GB2312" w:hAnsi="仿宋_GB2312" w:eastAsia="仿宋_GB2312" w:cs="仿宋_GB2312"/>
          <w:color w:val="000000"/>
          <w:sz w:val="32"/>
          <w:szCs w:val="32"/>
          <w:lang w:val="en-US" w:eastAsia="zh-CN"/>
        </w:rPr>
        <w:t>、县国家保密局</w:t>
      </w:r>
      <w:r>
        <w:rPr>
          <w:rFonts w:hint="eastAsia" w:ascii="仿宋_GB2312" w:hAnsi="仿宋_GB2312" w:eastAsia="仿宋_GB2312" w:cs="仿宋_GB2312"/>
          <w:color w:val="000000"/>
          <w:sz w:val="32"/>
          <w:szCs w:val="32"/>
          <w:lang w:val="en-US" w:eastAsia="zh-CN"/>
        </w:rPr>
        <w:t>局长的副主任</w:t>
      </w:r>
      <w:r>
        <w:rPr>
          <w:rFonts w:hint="default" w:ascii="Times New Roman" w:hAnsi="Times New Roman" w:eastAsia="仿宋_GB2312" w:cs="Times New Roman"/>
          <w:sz w:val="32"/>
          <w:szCs w:val="32"/>
        </w:rPr>
        <w:t>均为正科级）。</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rPr>
        <w:t>县委办公室所属事业单位的设置、职责和编制事项另行规定。</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color w:val="000000"/>
          <w:sz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color w:val="000000"/>
          <w:sz w:val="32"/>
        </w:rPr>
        <w:t xml:space="preserve">  本规定具体解释工作由县委机构编制委员会办公室承担，其调整由县委机构编制委员会办公室按规定程序办理。</w:t>
      </w:r>
    </w:p>
    <w:p>
      <w:pPr>
        <w:spacing w:line="588" w:lineRule="exact"/>
        <w:ind w:firstLine="800" w:firstLineChars="200"/>
        <w:jc w:val="center"/>
        <w:rPr>
          <w:rFonts w:ascii="方正小标宋简体" w:hAnsi="仿宋" w:eastAsia="方正小标宋简体"/>
          <w:sz w:val="40"/>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巴青县委</w:t>
      </w:r>
      <w:r>
        <w:rPr>
          <w:rFonts w:hint="eastAsia" w:ascii="方正小标宋简体" w:hAnsi="仿宋" w:eastAsia="方正小标宋简体"/>
          <w:sz w:val="32"/>
          <w:szCs w:val="32"/>
          <w:lang w:val="en-US" w:eastAsia="zh-CN"/>
        </w:rPr>
        <w:t>办</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both"/>
        <w:rPr>
          <w:rFonts w:ascii="黑体" w:hAnsi="黑体" w:eastAsia="黑体"/>
          <w:sz w:val="32"/>
          <w:szCs w:val="32"/>
        </w:rPr>
      </w:pPr>
    </w:p>
    <w:p>
      <w:pPr>
        <w:spacing w:line="588" w:lineRule="exact"/>
        <w:jc w:val="both"/>
        <w:rPr>
          <w:rFonts w:ascii="黑体" w:hAnsi="黑体" w:eastAsia="黑体"/>
          <w:sz w:val="32"/>
          <w:szCs w:val="32"/>
        </w:rPr>
      </w:pPr>
    </w:p>
    <w:p>
      <w:pPr>
        <w:spacing w:line="588" w:lineRule="exact"/>
        <w:jc w:val="both"/>
        <w:rPr>
          <w:rFonts w:ascii="黑体" w:hAnsi="黑体" w:eastAsia="黑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第三部分 2025年部门预算情况说明</w:t>
      </w: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802.28</w:t>
      </w:r>
      <w:r>
        <w:rPr>
          <w:rFonts w:hint="eastAsia" w:ascii="仿宋" w:hAnsi="仿宋" w:eastAsia="仿宋"/>
          <w:sz w:val="32"/>
          <w:szCs w:val="32"/>
        </w:rPr>
        <w:t>万元，比</w:t>
      </w:r>
      <w:r>
        <w:rPr>
          <w:rFonts w:hint="eastAsia" w:ascii="仿宋" w:hAnsi="仿宋" w:eastAsia="仿宋"/>
          <w:sz w:val="32"/>
          <w:szCs w:val="32"/>
          <w:lang w:val="en-US" w:eastAsia="zh-CN"/>
        </w:rPr>
        <w:t>上年增加4.01</w:t>
      </w:r>
      <w:r>
        <w:rPr>
          <w:rFonts w:hint="eastAsia" w:ascii="仿宋" w:hAnsi="仿宋" w:eastAsia="仿宋"/>
          <w:sz w:val="32"/>
          <w:szCs w:val="32"/>
        </w:rPr>
        <w:t>万元，</w:t>
      </w:r>
      <w:r>
        <w:rPr>
          <w:rFonts w:hint="eastAsia" w:ascii="仿宋" w:hAnsi="仿宋" w:eastAsia="仿宋"/>
          <w:sz w:val="32"/>
          <w:szCs w:val="32"/>
          <w:lang w:val="en-US" w:eastAsia="zh-CN"/>
        </w:rPr>
        <w:t>增长0.5%</w:t>
      </w:r>
      <w:r>
        <w:rPr>
          <w:rFonts w:hint="eastAsia" w:ascii="仿宋" w:hAnsi="仿宋" w:eastAsia="仿宋"/>
          <w:sz w:val="32"/>
          <w:szCs w:val="32"/>
        </w:rPr>
        <w:t>，主要原因是：</w:t>
      </w:r>
      <w:r>
        <w:rPr>
          <w:rFonts w:hint="eastAsia" w:ascii="仿宋" w:hAnsi="仿宋" w:eastAsia="仿宋"/>
          <w:sz w:val="32"/>
          <w:szCs w:val="32"/>
          <w:lang w:eastAsia="zh-CN"/>
        </w:rPr>
        <w:t>人</w:t>
      </w:r>
      <w:r>
        <w:rPr>
          <w:rFonts w:hint="eastAsia" w:ascii="仿宋" w:hAnsi="仿宋" w:eastAsia="仿宋"/>
          <w:sz w:val="32"/>
          <w:szCs w:val="32"/>
          <w:lang w:val="en-US" w:eastAsia="zh-CN"/>
        </w:rPr>
        <w:t>员</w:t>
      </w:r>
      <w:r>
        <w:rPr>
          <w:rFonts w:hint="eastAsia" w:ascii="仿宋" w:hAnsi="仿宋" w:eastAsia="仿宋"/>
          <w:sz w:val="32"/>
          <w:szCs w:val="32"/>
          <w:lang w:eastAsia="zh-CN"/>
        </w:rPr>
        <w:t>经费增加</w:t>
      </w:r>
      <w:r>
        <w:rPr>
          <w:rFonts w:hint="eastAsia" w:ascii="仿宋" w:hAnsi="仿宋" w:eastAsia="仿宋"/>
          <w:sz w:val="32"/>
          <w:szCs w:val="32"/>
          <w:lang w:val="en-US" w:eastAsia="zh-CN"/>
        </w:rPr>
        <w:t>。</w:t>
      </w:r>
      <w:r>
        <w:rPr>
          <w:rFonts w:hint="eastAsia" w:ascii="仿宋" w:hAnsi="仿宋" w:eastAsia="仿宋"/>
          <w:sz w:val="32"/>
          <w:szCs w:val="32"/>
        </w:rPr>
        <w:t>支出预算</w:t>
      </w:r>
      <w:r>
        <w:rPr>
          <w:rFonts w:hint="eastAsia" w:ascii="仿宋" w:hAnsi="仿宋" w:eastAsia="仿宋"/>
          <w:sz w:val="32"/>
          <w:szCs w:val="32"/>
          <w:lang w:val="en-US" w:eastAsia="zh-CN"/>
        </w:rPr>
        <w:t>802.28</w:t>
      </w:r>
      <w:r>
        <w:rPr>
          <w:rFonts w:hint="eastAsia" w:ascii="仿宋" w:hAnsi="仿宋" w:eastAsia="仿宋"/>
          <w:sz w:val="32"/>
          <w:szCs w:val="32"/>
        </w:rPr>
        <w:t>万元，比上年</w:t>
      </w:r>
      <w:r>
        <w:rPr>
          <w:rFonts w:hint="eastAsia" w:ascii="仿宋" w:hAnsi="仿宋" w:eastAsia="仿宋"/>
          <w:sz w:val="32"/>
          <w:szCs w:val="32"/>
          <w:lang w:val="en-US" w:eastAsia="zh-CN"/>
        </w:rPr>
        <w:t>增长4.01</w:t>
      </w:r>
      <w:r>
        <w:rPr>
          <w:rFonts w:hint="eastAsia" w:ascii="仿宋" w:hAnsi="仿宋" w:eastAsia="仿宋"/>
          <w:sz w:val="32"/>
          <w:szCs w:val="32"/>
        </w:rPr>
        <w:t>万元，</w:t>
      </w:r>
      <w:r>
        <w:rPr>
          <w:rFonts w:hint="eastAsia" w:ascii="仿宋" w:hAnsi="仿宋" w:eastAsia="仿宋"/>
          <w:sz w:val="32"/>
          <w:szCs w:val="32"/>
          <w:lang w:val="en-US" w:eastAsia="zh-CN"/>
        </w:rPr>
        <w:t>增长0.5</w:t>
      </w:r>
      <w:r>
        <w:rPr>
          <w:rFonts w:hint="eastAsia" w:ascii="仿宋" w:hAnsi="仿宋" w:eastAsia="仿宋"/>
          <w:sz w:val="32"/>
          <w:szCs w:val="32"/>
        </w:rPr>
        <w:t>%，主要原因是：</w:t>
      </w:r>
      <w:r>
        <w:rPr>
          <w:rFonts w:hint="eastAsia" w:ascii="仿宋" w:hAnsi="仿宋" w:eastAsia="仿宋"/>
          <w:sz w:val="32"/>
          <w:szCs w:val="32"/>
          <w:lang w:eastAsia="zh-CN"/>
        </w:rPr>
        <w:t>人</w:t>
      </w:r>
      <w:r>
        <w:rPr>
          <w:rFonts w:hint="eastAsia" w:ascii="仿宋" w:hAnsi="仿宋" w:eastAsia="仿宋"/>
          <w:sz w:val="32"/>
          <w:szCs w:val="32"/>
          <w:lang w:val="en-US" w:eastAsia="zh-CN"/>
        </w:rPr>
        <w:t>员</w:t>
      </w:r>
      <w:r>
        <w:rPr>
          <w:rFonts w:hint="eastAsia" w:ascii="仿宋" w:hAnsi="仿宋" w:eastAsia="仿宋"/>
          <w:sz w:val="32"/>
          <w:szCs w:val="32"/>
          <w:lang w:eastAsia="zh-CN"/>
        </w:rPr>
        <w:t>经费增加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bookmarkStart w:id="0" w:name="_GoBack"/>
      <w:bookmarkEnd w:id="0"/>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上年0万元,</w:t>
      </w:r>
      <w:r>
        <w:rPr>
          <w:rFonts w:hint="eastAsia" w:ascii="仿宋" w:hAnsi="仿宋" w:eastAsia="仿宋"/>
          <w:sz w:val="32"/>
          <w:szCs w:val="32"/>
        </w:rPr>
        <w:t>比上年</w:t>
      </w:r>
      <w:r>
        <w:rPr>
          <w:rFonts w:hint="eastAsia" w:ascii="仿宋" w:hAnsi="仿宋" w:eastAsia="仿宋"/>
          <w:sz w:val="32"/>
          <w:szCs w:val="32"/>
          <w:lang w:val="en-US" w:eastAsia="zh-CN"/>
        </w:rPr>
        <w:t>增加0</w:t>
      </w:r>
      <w:r>
        <w:rPr>
          <w:rFonts w:hint="eastAsia" w:ascii="仿宋" w:hAnsi="仿宋" w:eastAsia="仿宋"/>
          <w:sz w:val="32"/>
          <w:szCs w:val="32"/>
        </w:rPr>
        <w:t>万元，</w:t>
      </w:r>
      <w:r>
        <w:rPr>
          <w:rFonts w:hint="eastAsia" w:ascii="仿宋" w:hAnsi="仿宋" w:eastAsia="仿宋"/>
          <w:sz w:val="32"/>
          <w:szCs w:val="32"/>
          <w:lang w:val="en-US" w:eastAsia="zh-CN"/>
        </w:rPr>
        <w:t>增加0</w:t>
      </w:r>
      <w:r>
        <w:rPr>
          <w:rFonts w:hint="eastAsia" w:ascii="仿宋" w:hAnsi="仿宋" w:eastAsia="仿宋"/>
          <w:sz w:val="32"/>
          <w:szCs w:val="32"/>
        </w:rPr>
        <w:t>，主要原因是：</w:t>
      </w:r>
      <w:r>
        <w:rPr>
          <w:rFonts w:hint="eastAsia" w:ascii="仿宋" w:hAnsi="仿宋" w:eastAsia="仿宋"/>
          <w:sz w:val="32"/>
          <w:szCs w:val="32"/>
          <w:lang w:val="en-US" w:eastAsia="zh-CN"/>
        </w:rPr>
        <w:t>无三公经费。</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无</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87</w:t>
      </w:r>
      <w:r>
        <w:rPr>
          <w:rFonts w:hint="eastAsia" w:ascii="仿宋" w:hAnsi="仿宋" w:eastAsia="仿宋"/>
          <w:sz w:val="32"/>
          <w:szCs w:val="32"/>
        </w:rPr>
        <w:t>万元，比上</w:t>
      </w:r>
      <w:r>
        <w:rPr>
          <w:rFonts w:hint="eastAsia" w:ascii="仿宋" w:hAnsi="仿宋" w:eastAsia="仿宋"/>
          <w:sz w:val="32"/>
          <w:szCs w:val="32"/>
          <w:lang w:val="en-US" w:eastAsia="zh-CN"/>
        </w:rPr>
        <w:t>增长21.41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增加24.61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lang w:eastAsia="zh-CN"/>
        </w:rPr>
        <w:t>：人</w:t>
      </w:r>
      <w:r>
        <w:rPr>
          <w:rFonts w:hint="eastAsia" w:ascii="仿宋" w:hAnsi="仿宋" w:eastAsia="仿宋"/>
          <w:sz w:val="32"/>
          <w:szCs w:val="32"/>
          <w:lang w:val="en-US" w:eastAsia="zh-CN"/>
        </w:rPr>
        <w:t>员</w:t>
      </w:r>
      <w:r>
        <w:rPr>
          <w:rFonts w:hint="eastAsia" w:ascii="仿宋" w:hAnsi="仿宋" w:eastAsia="仿宋"/>
          <w:sz w:val="32"/>
          <w:szCs w:val="32"/>
          <w:lang w:eastAsia="zh-CN"/>
        </w:rPr>
        <w:t>经费增加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元，主要是</w:t>
      </w:r>
      <w:r>
        <w:rPr>
          <w:rFonts w:hint="eastAsia" w:ascii="仿宋" w:hAnsi="仿宋" w:eastAsia="仿宋"/>
          <w:sz w:val="32"/>
          <w:szCs w:val="32"/>
          <w:lang w:val="en-US" w:eastAsia="zh-CN"/>
        </w:rPr>
        <w:t>:无。</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 w:hAnsi="仿宋" w:eastAsia="仿宋"/>
          <w:sz w:val="32"/>
          <w:szCs w:val="32"/>
          <w:lang w:val="en-US" w:eastAsia="zh-CN"/>
        </w:rPr>
        <w:t>796.67</w:t>
      </w:r>
      <w:r>
        <w:rPr>
          <w:rFonts w:hint="eastAsia" w:ascii="仿宋" w:hAnsi="仿宋" w:eastAsia="仿宋"/>
          <w:sz w:val="32"/>
          <w:szCs w:val="32"/>
        </w:rPr>
        <w:t>万元，实现项目支出绩效目标管理全覆盖。其中本部门重点项目绩效目标情况如下：</w:t>
      </w:r>
    </w:p>
    <w:tbl>
      <w:tblPr>
        <w:tblStyle w:val="7"/>
        <w:tblW w:w="9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2"/>
        <w:gridCol w:w="436"/>
        <w:gridCol w:w="368"/>
        <w:gridCol w:w="768"/>
        <w:gridCol w:w="691"/>
        <w:gridCol w:w="1146"/>
        <w:gridCol w:w="1640"/>
        <w:gridCol w:w="119"/>
        <w:gridCol w:w="791"/>
        <w:gridCol w:w="481"/>
        <w:gridCol w:w="240"/>
        <w:gridCol w:w="142"/>
        <w:gridCol w:w="177"/>
        <w:gridCol w:w="95"/>
        <w:gridCol w:w="204"/>
        <w:gridCol w:w="383"/>
        <w:gridCol w:w="109"/>
        <w:gridCol w:w="14"/>
        <w:gridCol w:w="117"/>
        <w:gridCol w:w="360"/>
        <w:gridCol w:w="423"/>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5"/>
          <w:wAfter w:w="1403" w:type="dxa"/>
          <w:trHeight w:val="420" w:hRule="atLeast"/>
        </w:trPr>
        <w:tc>
          <w:tcPr>
            <w:tcW w:w="762"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43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68"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c>
          <w:tcPr>
            <w:tcW w:w="1459"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14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79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48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4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度量单位</w:t>
            </w:r>
          </w:p>
        </w:tc>
        <w:tc>
          <w:tcPr>
            <w:tcW w:w="319"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w:t>
            </w:r>
          </w:p>
        </w:tc>
        <w:tc>
          <w:tcPr>
            <w:tcW w:w="791"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101001-巴青县县委办机关</w:t>
            </w: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54060024R000001586429-干部职工通讯补助</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54060024R000001586926-干部职工体检费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54060024R000001598610-干部职工休假包干补助</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16.67</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54060024R000001599779-工伤保险配套</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54060024R000001600867-干部职工取暖费补助</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54060025R000002008956-财政工资统发</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326.87</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5"/>
          <w:wAfter w:w="1403"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1"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54060025R000002009101-年终一次性奖金</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26.72</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54060025R000002009918-住房公积金</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43.03</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54060025R000002012573-城镇职工基本医疗保险缴费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30.33</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54060025R000002012732-公务员医疗补助</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54060025R000002013011-机关事业单位养老保险缴费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51.49</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54060025R000002033491-强基惠民驻村生活补助</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8.88</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足额保障率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人员覆盖率★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人员幸福感</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54060025T000002033683-强基惠民驻村经费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驻村资金使用率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驻村工作队在岗率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驻村工作经费使用及时率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资金下拨率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为民办实事经费满意度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驻村经费准时率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驻村工作队数量</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驻村经费使用公开率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驻村队对经费的满意度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4"/>
          <w:wAfter w:w="13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驻村工作任务完成率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5"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54060025T000002066938-慰问经费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25.20</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慰问工作达标率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慰问基层经费满意度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慰问工作任务完成率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慰问经费使用及时率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基层对慰问经费的满意度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慰问经费准时率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慰问经费使用率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慰问经费使用公开率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慰问次数</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资金下拨率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54060025Y000002013463-工会经费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超标准率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合理配置率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人员积极性</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履职能力★</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54060025Y000002013612-用氧补助经费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w:t>
            </w: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超标准率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合理配置率</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6"/>
          <w:wAfter w:w="1512"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46"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5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履职能力★</w:t>
            </w:r>
          </w:p>
        </w:tc>
        <w:tc>
          <w:tcPr>
            <w:tcW w:w="79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9"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82"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restart"/>
            <w:tcBorders>
              <w:top w:val="single" w:color="C2C3C4" w:sz="4" w:space="0"/>
              <w:left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restart"/>
            <w:tcBorders>
              <w:top w:val="single" w:color="C0C0C0" w:sz="4" w:space="0"/>
              <w:left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人员积极性</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54060025Y000002013750-日常公用经费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及时支付率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超标准率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合理配置率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履职能力★</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人员积极性</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54060025Y000002068423-“520”视频会议系统运维费</w:t>
            </w:r>
          </w:p>
        </w:tc>
        <w:tc>
          <w:tcPr>
            <w:tcW w:w="368"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96.05</w:t>
            </w: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系统维护率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“520”视频会议系统运维费</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上级部门对机要线路通信稳定的评价</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在机要会议中发挥作用</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8"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05"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保障机要线路畅通率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restart"/>
            <w:tcBorders>
              <w:top w:val="single" w:color="C0C0C0" w:sz="4" w:space="0"/>
              <w:left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资金兑现及时率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“520”视频会议系统运维费使用率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可持续发展指标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在机要线路保障运维中发挥作用</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“520”视频会议系统运维使用率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“520”视频会议系统运维费使用完成率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54062824T000001501401-改进作风建设经费</w:t>
            </w:r>
          </w:p>
        </w:tc>
        <w:tc>
          <w:tcPr>
            <w:tcW w:w="1136" w:type="dxa"/>
            <w:gridSpan w:val="2"/>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检查频次</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年度检查任务按时完成率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检查结果公开率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问题整改落实率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restart"/>
            <w:tcBorders>
              <w:top w:val="single" w:color="C2C3C4" w:sz="4" w:space="0"/>
              <w:left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资金使用时间</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抽检覆盖率</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完成检查报告数量</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完成问题反馈数量</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检查人员被投诉次数</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社会成本指标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作风办人数</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54062824T000001501460-机要密码事业经费</w:t>
            </w:r>
          </w:p>
        </w:tc>
        <w:tc>
          <w:tcPr>
            <w:tcW w:w="1136" w:type="dxa"/>
            <w:gridSpan w:val="2"/>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资金使用时间</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89" w:type="dxa"/>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91"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机要局发文时效</w:t>
            </w:r>
          </w:p>
        </w:tc>
        <w:tc>
          <w:tcPr>
            <w:tcW w:w="38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9"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0"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机要局收文时效</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可持续发展指标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提高机要密码事业发展</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机要密码事业保障资金</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提高全县对机要密码的满意度</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年机要密码事业资金使用</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机要密码事业保障人数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促进全县干部职工对机要满意度</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机要密码事业机构设立数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54062824T000001501508-保密事业经费</w:t>
            </w:r>
          </w:p>
        </w:tc>
        <w:tc>
          <w:tcPr>
            <w:tcW w:w="1136" w:type="dxa"/>
            <w:gridSpan w:val="2"/>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保密设备单价</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元/套</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下达保密整改次数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可持续发展指标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提高我县保密事业发展</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保密检查次数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restart"/>
            <w:tcBorders>
              <w:top w:val="single" w:color="C2C3C4" w:sz="4" w:space="0"/>
              <w:left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提高干部职工保密意识</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每年保密设备采购数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提升我县保密工作走在前列</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每年保密杂志订购数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资金使用时间</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提高干部职工保密工作积极性</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54062824T000001501528-值班及辐射费</w:t>
            </w:r>
          </w:p>
        </w:tc>
        <w:tc>
          <w:tcPr>
            <w:tcW w:w="1136" w:type="dxa"/>
            <w:gridSpan w:val="2"/>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机要文件每天收到数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每人每天值班补助</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资金使用时间</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可持续发展指标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提高机要事业发展</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提高机要局工作积极性</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保障机要局24小时运行</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文件发送数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每天值班小时</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小时/天</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机要局职工人数</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6"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37"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64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73" w:type="dxa"/>
            <w:gridSpan w:val="5"/>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法定节假日值班费</w:t>
            </w:r>
          </w:p>
        </w:tc>
        <w:tc>
          <w:tcPr>
            <w:tcW w:w="27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0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623"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元/人·次</w:t>
            </w:r>
          </w:p>
        </w:tc>
        <w:tc>
          <w:tcPr>
            <w:tcW w:w="78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8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18"/>
                <w:szCs w:val="18"/>
                <w:u w:val="none"/>
              </w:rPr>
            </w:pPr>
          </w:p>
        </w:tc>
      </w:tr>
    </w:tbl>
    <w:p>
      <w:pPr>
        <w:pStyle w:val="2"/>
      </w:pPr>
    </w:p>
    <w:p>
      <w:pPr>
        <w:spacing w:line="588" w:lineRule="exact"/>
        <w:rPr>
          <w:rFonts w:ascii="黑体" w:hAnsi="黑体" w:eastAsia="黑体"/>
          <w:sz w:val="32"/>
          <w:szCs w:val="32"/>
        </w:rPr>
      </w:pPr>
      <w:r>
        <w:rPr>
          <w:rFonts w:hint="eastAsia" w:ascii="黑体" w:hAnsi="黑体" w:eastAsia="黑体"/>
          <w:sz w:val="32"/>
          <w:szCs w:val="32"/>
        </w:rPr>
        <w:t>七、其他需要说明的情况</w:t>
      </w:r>
    </w:p>
    <w:p>
      <w:pPr>
        <w:widowControl/>
        <w:spacing w:line="588" w:lineRule="exact"/>
        <w:jc w:val="both"/>
        <w:rPr>
          <w:rFonts w:ascii="方正小标宋简体" w:hAnsi="仿宋" w:eastAsia="方正小标宋简体"/>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政府债务情况。</w:t>
      </w:r>
      <w:r>
        <w:rPr>
          <w:rFonts w:hint="eastAsia" w:ascii="仿宋" w:hAnsi="仿宋" w:eastAsia="仿宋"/>
          <w:sz w:val="32"/>
          <w:szCs w:val="32"/>
          <w:lang w:val="en-US" w:eastAsia="zh-CN"/>
        </w:rPr>
        <w:t>截止2025年2月本单位无任何债务</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FangSong_GB2312">
    <w:altName w:val="仿宋"/>
    <w:panose1 w:val="02010609060101010101"/>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FangSong_GB2312">
    <w:altName w:val="仿宋"/>
    <w:panose1 w:val="02010609060101010101"/>
    <w:charset w:val="86"/>
    <w:family w:val="swiss"/>
    <w:pitch w:val="default"/>
    <w:sig w:usb0="00000000" w:usb1="00000000" w:usb2="00000010" w:usb3="00000000" w:csb0="00040000" w:csb1="00000000"/>
  </w:font>
  <w:font w:name="FangSong_GB2312">
    <w:altName w:val="仿宋"/>
    <w:panose1 w:val="0201060906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- 1 -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71DBA"/>
    <w:rsid w:val="02251890"/>
    <w:rsid w:val="02594912"/>
    <w:rsid w:val="040824AC"/>
    <w:rsid w:val="04BD5452"/>
    <w:rsid w:val="0EB77F47"/>
    <w:rsid w:val="19DB1778"/>
    <w:rsid w:val="223E69B9"/>
    <w:rsid w:val="267565C6"/>
    <w:rsid w:val="28BB2AE0"/>
    <w:rsid w:val="2F120BC6"/>
    <w:rsid w:val="305E446B"/>
    <w:rsid w:val="351D7B1A"/>
    <w:rsid w:val="3875122D"/>
    <w:rsid w:val="3AF71DBA"/>
    <w:rsid w:val="3FAB7947"/>
    <w:rsid w:val="44712DC6"/>
    <w:rsid w:val="49520D56"/>
    <w:rsid w:val="529A65C2"/>
    <w:rsid w:val="5A635857"/>
    <w:rsid w:val="5B9F77DD"/>
    <w:rsid w:val="5F2C3231"/>
    <w:rsid w:val="651F73F4"/>
    <w:rsid w:val="6C2E088C"/>
    <w:rsid w:val="72652BB9"/>
    <w:rsid w:val="795A3CB7"/>
    <w:rsid w:val="7F1329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te Heading"/>
    <w:basedOn w:val="1"/>
    <w:next w:val="1"/>
    <w:qFormat/>
    <w:uiPriority w:val="0"/>
    <w:pPr>
      <w:jc w:val="center"/>
    </w:p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0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2025-02-06T10:10:00Z</dcterms:created>
  <dc:creator>lenovo</dc:creator>
  <cp:lastModifiedBy>lenovo</cp:lastModifiedBy>
  <cp:lastPrinted>2025-02-06T10:33:00Z</cp:lastPrinted>
  <dcterms:modified xsi:type="dcterms:W3CDTF">2025-03-18T11:41:54Z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