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人社局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本年收入2,196.51万元，使用非财政拨款结余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0.39</w:t>
      </w:r>
      <w:r>
        <w:rPr>
          <w:rFonts w:hint="default" w:ascii="Times New Roman" w:hAnsi="Times New Roman" w:eastAsia="方正仿宋简体" w:cs="Times New Roman"/>
        </w:rPr>
        <w:t>万元；本年支出2,196.91万元，结余分配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0.39</w:t>
      </w:r>
      <w:r>
        <w:rPr>
          <w:rFonts w:hint="default" w:ascii="Times New Roman" w:hAnsi="Times New Roman" w:eastAsia="方正仿宋简体" w:cs="Times New Roman"/>
        </w:rPr>
        <w:t>万元，本年收入2,192.80万元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本年支出2,193.19万元，年末结转和结余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2A2BCB"/>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248BC"/>
    <w:rsid w:val="26B3691A"/>
    <w:rsid w:val="28271B69"/>
    <w:rsid w:val="29986A29"/>
    <w:rsid w:val="2ADA0ABB"/>
    <w:rsid w:val="2B1152F0"/>
    <w:rsid w:val="2C55137B"/>
    <w:rsid w:val="2CC45202"/>
    <w:rsid w:val="2D2B74D0"/>
    <w:rsid w:val="2D3A2302"/>
    <w:rsid w:val="2E77392C"/>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4627708"/>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5F25F2"/>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