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统战部</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本年收入1,356.58万元，使用非财政拨款结余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13</w:t>
      </w:r>
      <w:r>
        <w:rPr>
          <w:rFonts w:hint="default" w:ascii="Times New Roman" w:hAnsi="Times New Roman" w:eastAsia="方正仿宋简体" w:cs="Times New Roman"/>
        </w:rPr>
        <w:t>万元；本年支出1,369.58万元，结余分配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13</w:t>
      </w:r>
      <w:r>
        <w:rPr>
          <w:rFonts w:hint="default" w:ascii="Times New Roman" w:hAnsi="Times New Roman" w:eastAsia="方正仿宋简体" w:cs="Times New Roman"/>
        </w:rPr>
        <w:t>万元，本年收入1,356.58万元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本年支出1,369.58万元，年末结转和结余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611FF7"/>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0AA5C75"/>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