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住建局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本年收入11,360.74万元，使用非财政拨款结余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9,858.62</w:t>
      </w:r>
      <w:r>
        <w:rPr>
          <w:rFonts w:hint="default" w:ascii="Times New Roman" w:hAnsi="Times New Roman" w:eastAsia="方正仿宋简体" w:cs="Times New Roman"/>
        </w:rPr>
        <w:t>万元；本年支出21,219.36万元，结余分配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9,858.62</w:t>
      </w:r>
      <w:r>
        <w:rPr>
          <w:rFonts w:hint="default" w:ascii="Times New Roman" w:hAnsi="Times New Roman" w:eastAsia="方正仿宋简体" w:cs="Times New Roman"/>
        </w:rPr>
        <w:t>万元，本年收入11,357.24万元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本年支出21,215.86万元，年末结转和结余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3.50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3.50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248BC"/>
    <w:rsid w:val="26B3691A"/>
    <w:rsid w:val="28271B69"/>
    <w:rsid w:val="2955558A"/>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5F25F2"/>
    <w:rsid w:val="7AED4375"/>
    <w:rsid w:val="7B9D3477"/>
    <w:rsid w:val="7BAB3D02"/>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