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编译局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编译局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编译局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编译局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编译局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编译局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主要职能：承接县级各类文件材料汉藏翻译任务。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县编译局机关行政编制6名，部门领导职数2名，局长1名，副局长1名。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 xml:space="preserve"> 在职实有人数5名，其中：局长1名（正科级），副局长1名（副科级1名），三级主任科员1名，四级主任科员1名，科员1名。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编译局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编译局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 xml:space="preserve">   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万元，项目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支出0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 xml:space="preserve">     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 xml:space="preserve">    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162.89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158.01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158.01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4.88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4.88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 xml:space="preserve"> 0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0辆</w:t>
      </w:r>
      <w:r>
        <w:rPr>
          <w:rFonts w:hint="eastAsia" w:ascii="Times New Roman" w:hAnsi="Times New Roman" w:eastAsia="方正仿宋_GBK" w:cs="Times New Roman"/>
          <w:szCs w:val="32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  <w:bookmarkStart w:id="0" w:name="_GoBack"/>
      <w:bookmarkEnd w:id="0"/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3101C2"/>
    <w:rsid w:val="3C4B4F11"/>
    <w:rsid w:val="3D944A6D"/>
    <w:rsid w:val="43BD3D2A"/>
    <w:rsid w:val="44105A5D"/>
    <w:rsid w:val="462B2178"/>
    <w:rsid w:val="4D6F593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84C7F96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2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2025-10-16T07:40:15Z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