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u w:val="none"/>
        </w:rPr>
      </w:pPr>
      <w:r>
        <w:rPr>
          <w:rFonts w:hint="default" w:ascii="Times New Roman" w:hAnsi="Times New Roman" w:eastAsia="方正小标宋_GBK" w:cs="Times New Roman"/>
          <w:sz w:val="44"/>
          <w:szCs w:val="44"/>
          <w:highlight w:val="none"/>
          <w:u w:val="none"/>
        </w:rPr>
        <w:t>巴青县</w:t>
      </w:r>
      <w:r>
        <w:rPr>
          <w:rFonts w:hint="eastAsia" w:ascii="Times New Roman" w:hAnsi="Times New Roman" w:eastAsia="方正小标宋_GBK" w:cs="Times New Roman"/>
          <w:sz w:val="44"/>
          <w:szCs w:val="44"/>
          <w:highlight w:val="none"/>
          <w:u w:val="none"/>
          <w:lang w:val="en-US" w:eastAsia="zh-CN"/>
        </w:rPr>
        <w:t>贡日乡人民政府</w:t>
      </w:r>
      <w:r>
        <w:rPr>
          <w:rFonts w:hint="default" w:ascii="Times New Roman" w:hAnsi="Times New Roman" w:eastAsia="方正小标宋_GBK" w:cs="Times New Roman"/>
          <w:sz w:val="44"/>
          <w:szCs w:val="44"/>
          <w:highlight w:val="none"/>
          <w:u w:val="none"/>
          <w:lang w:eastAsia="zh-CN"/>
        </w:rPr>
        <w:t>202</w:t>
      </w:r>
      <w:r>
        <w:rPr>
          <w:rFonts w:hint="default" w:ascii="Times New Roman" w:hAnsi="Times New Roman" w:eastAsia="方正小标宋_GBK" w:cs="Times New Roman"/>
          <w:sz w:val="44"/>
          <w:szCs w:val="44"/>
          <w:highlight w:val="none"/>
          <w:u w:val="none"/>
          <w:lang w:val="en-US" w:eastAsia="zh-CN"/>
        </w:rPr>
        <w:t>4</w:t>
      </w:r>
      <w:r>
        <w:rPr>
          <w:rFonts w:hint="default" w:ascii="Times New Roman" w:hAnsi="Times New Roman" w:eastAsia="方正小标宋_GBK" w:cs="Times New Roman"/>
          <w:sz w:val="44"/>
          <w:szCs w:val="44"/>
          <w:highlight w:val="none"/>
          <w:u w:val="none"/>
        </w:rPr>
        <w:t>年度部门决算</w:t>
      </w:r>
    </w:p>
    <w:p>
      <w:pPr>
        <w:spacing w:line="576" w:lineRule="exact"/>
        <w:jc w:val="center"/>
        <w:rPr>
          <w:rFonts w:hint="default" w:ascii="Times New Roman" w:hAnsi="Times New Roman" w:eastAsia="方正仿宋简体" w:cs="Times New Roman"/>
          <w:b/>
          <w:szCs w:val="32"/>
          <w:highlight w:val="none"/>
          <w:u w:val="none"/>
        </w:rPr>
      </w:pPr>
      <w:r>
        <w:rPr>
          <w:rFonts w:hint="default" w:ascii="Times New Roman" w:hAnsi="Times New Roman" w:eastAsia="方正仿宋_GBK" w:cs="Times New Roman"/>
          <w:b/>
          <w:szCs w:val="32"/>
          <w:highlight w:val="none"/>
          <w:u w:val="none"/>
        </w:rPr>
        <w:t>目  录</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第一部分  巴青县</w:t>
      </w:r>
      <w:r>
        <w:rPr>
          <w:rFonts w:hint="eastAsia" w:ascii="Times New Roman" w:hAnsi="Times New Roman" w:eastAsia="黑体" w:cs="Times New Roman"/>
          <w:b w:val="0"/>
          <w:bCs/>
          <w:szCs w:val="32"/>
          <w:highlight w:val="none"/>
          <w:u w:val="none"/>
          <w:lang w:val="en-US" w:eastAsia="zh-CN"/>
        </w:rPr>
        <w:t>贡日乡人民政府</w:t>
      </w:r>
      <w:r>
        <w:rPr>
          <w:rFonts w:hint="default" w:ascii="Times New Roman" w:hAnsi="Times New Roman" w:eastAsia="黑体" w:cs="Times New Roman"/>
          <w:b w:val="0"/>
          <w:bCs/>
          <w:szCs w:val="32"/>
          <w:highlight w:val="none"/>
          <w:u w:val="none"/>
        </w:rPr>
        <w:t>概况</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第二部分  巴青县</w:t>
      </w:r>
      <w:r>
        <w:rPr>
          <w:rFonts w:hint="eastAsia" w:ascii="Times New Roman" w:hAnsi="Times New Roman" w:eastAsia="黑体" w:cs="Times New Roman"/>
          <w:b w:val="0"/>
          <w:bCs/>
          <w:szCs w:val="32"/>
          <w:highlight w:val="none"/>
          <w:u w:val="none"/>
          <w:lang w:val="en-US" w:eastAsia="zh-CN"/>
        </w:rPr>
        <w:t>贡日乡人民政府</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第三部分  巴青县</w:t>
      </w:r>
      <w:r>
        <w:rPr>
          <w:rFonts w:hint="eastAsia" w:ascii="Times New Roman" w:hAnsi="Times New Roman" w:eastAsia="黑体" w:cs="Times New Roman"/>
          <w:b w:val="0"/>
          <w:bCs/>
          <w:szCs w:val="32"/>
          <w:highlight w:val="none"/>
          <w:u w:val="none"/>
          <w:lang w:val="en-US" w:eastAsia="zh-CN"/>
        </w:rPr>
        <w:t>贡日乡人民政府</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w:t>
      </w:r>
      <w:r>
        <w:rPr>
          <w:rFonts w:hint="default" w:ascii="Times New Roman" w:hAnsi="Times New Roman" w:eastAsia="方正楷体简体" w:cs="Times New Roman"/>
          <w:szCs w:val="32"/>
          <w:highlight w:val="none"/>
          <w:u w:val="none"/>
          <w:lang w:eastAsia="zh-CN"/>
        </w:rPr>
        <w:t>、</w:t>
      </w:r>
      <w:r>
        <w:rPr>
          <w:rFonts w:hint="default" w:ascii="Times New Roman" w:hAnsi="Times New Roman" w:eastAsia="方正楷体简体" w:cs="Times New Roman"/>
          <w:szCs w:val="32"/>
          <w:highlight w:val="none"/>
          <w:u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第四部分  名词解释</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第一部分 巴青县</w:t>
      </w:r>
      <w:r>
        <w:rPr>
          <w:rFonts w:hint="eastAsia" w:ascii="Times New Roman" w:hAnsi="Times New Roman" w:eastAsia="黑体" w:cs="Times New Roman"/>
          <w:b w:val="0"/>
          <w:bCs w:val="0"/>
          <w:szCs w:val="32"/>
          <w:highlight w:val="none"/>
          <w:u w:val="none"/>
          <w:lang w:val="en-US" w:eastAsia="zh-CN"/>
        </w:rPr>
        <w:t>贡日乡人民政府</w:t>
      </w:r>
      <w:r>
        <w:rPr>
          <w:rFonts w:hint="default" w:ascii="Times New Roman" w:hAnsi="Times New Roman" w:eastAsia="黑体" w:cs="Times New Roman"/>
          <w:b w:val="0"/>
          <w:bCs w:val="0"/>
          <w:szCs w:val="32"/>
          <w:highlight w:val="none"/>
          <w:u w:val="none"/>
        </w:rPr>
        <w:t>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巴青县</w:t>
      </w:r>
      <w:r>
        <w:rPr>
          <w:rFonts w:hint="eastAsia" w:ascii="Times New Roman" w:hAnsi="Times New Roman" w:eastAsia="方正仿宋_GBK" w:cs="Times New Roman"/>
          <w:szCs w:val="32"/>
          <w:highlight w:val="none"/>
          <w:u w:val="none"/>
          <w:lang w:val="en-US" w:eastAsia="zh-CN"/>
        </w:rPr>
        <w:t>贡日乡人民政府</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主要职能：</w:t>
      </w:r>
    </w:p>
    <w:p>
      <w:pPr>
        <w:ind w:firstLine="632"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负责处理巴青县贡日乡人民政府日常政务和事务。负责巴青县贡日乡人民政府会议和巴青县贡日乡人民政府领导同志重要活动的组织安排，协助巴青县贡日乡人民政府领导同志组织实施会议决定事项。</w:t>
      </w:r>
    </w:p>
    <w:p>
      <w:pPr>
        <w:ind w:firstLine="632"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负责巴青县贡日乡人民政府各项日常工作，指导各村（居）及巴青县贡日乡人民政府各部门值班工作，及时报告重要情况，传达和督促落实县人民政府及巴青县贡日乡人民政府领导批示。</w:t>
      </w:r>
    </w:p>
    <w:p>
      <w:pPr>
        <w:ind w:firstLine="632"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负责推进指导、协调监督全乡党政信息公开和机关效能建设工作。负责信息公开和党务政务公开工作，编辑政府公报。</w:t>
      </w:r>
    </w:p>
    <w:p>
      <w:pPr>
        <w:ind w:firstLine="632"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牵头推进法治政府建设、依法行政和“放管服”工作。</w:t>
      </w:r>
    </w:p>
    <w:p>
      <w:pPr>
        <w:ind w:firstLine="632"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负责上级工作组、来宾的接待服务保障工作。</w:t>
      </w:r>
    </w:p>
    <w:p>
      <w:pPr>
        <w:ind w:firstLine="632"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负责巴青县贡日乡人民政府公务用车，党政机关后勤事务管理、贡日寺管理委员会、贡日乡卫生院等工作。</w:t>
      </w:r>
    </w:p>
    <w:p>
      <w:pPr>
        <w:ind w:firstLine="632"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负责乡外事工作，牵头负责相关协调和服务工作。</w:t>
      </w:r>
    </w:p>
    <w:p>
      <w:pPr>
        <w:ind w:firstLine="632"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完成县委、县人民政府和乡人民政府领导同志交办的其他任务。</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spacing w:line="576" w:lineRule="exact"/>
        <w:ind w:firstLine="632" w:firstLineChars="200"/>
        <w:jc w:val="both"/>
        <w:rPr>
          <w:rFonts w:hint="default" w:ascii="Times New Roman" w:hAnsi="Times New Roman" w:eastAsia="黑体" w:cs="Times New Roman"/>
          <w:b w:val="0"/>
          <w:bCs w:val="0"/>
          <w:szCs w:val="32"/>
          <w:highlight w:val="none"/>
          <w:u w:val="none"/>
        </w:rPr>
      </w:pPr>
      <w:r>
        <w:rPr>
          <w:rFonts w:hint="eastAsia" w:ascii="仿宋" w:hAnsi="仿宋" w:eastAsia="仿宋"/>
          <w:sz w:val="32"/>
          <w:szCs w:val="32"/>
          <w:highlight w:val="none"/>
        </w:rPr>
        <w:t>巴青县贡日乡人民政府机关行政编制</w:t>
      </w:r>
      <w:r>
        <w:rPr>
          <w:rFonts w:hint="eastAsia" w:ascii="仿宋" w:hAnsi="仿宋" w:eastAsia="仿宋"/>
          <w:sz w:val="32"/>
          <w:szCs w:val="32"/>
          <w:highlight w:val="none"/>
          <w:u w:val="single"/>
          <w:lang w:val="en-US" w:eastAsia="zh-CN"/>
        </w:rPr>
        <w:t>15</w:t>
      </w:r>
      <w:r>
        <w:rPr>
          <w:rFonts w:hint="eastAsia" w:ascii="仿宋" w:hAnsi="仿宋" w:eastAsia="仿宋"/>
          <w:sz w:val="32"/>
          <w:szCs w:val="32"/>
          <w:highlight w:val="none"/>
        </w:rPr>
        <w:t>名，</w:t>
      </w:r>
      <w:r>
        <w:rPr>
          <w:rFonts w:hint="eastAsia" w:ascii="仿宋" w:hAnsi="仿宋" w:eastAsia="仿宋"/>
          <w:sz w:val="32"/>
          <w:szCs w:val="32"/>
          <w:highlight w:val="none"/>
          <w:lang w:eastAsia="zh-CN"/>
        </w:rPr>
        <w:t>兽防编制</w:t>
      </w:r>
      <w:r>
        <w:rPr>
          <w:rFonts w:hint="eastAsia" w:ascii="仿宋" w:hAnsi="仿宋" w:eastAsia="仿宋"/>
          <w:sz w:val="32"/>
          <w:szCs w:val="32"/>
          <w:highlight w:val="none"/>
          <w:lang w:val="en-US" w:eastAsia="zh-CN"/>
        </w:rPr>
        <w:t>12名，文化编制</w:t>
      </w:r>
      <w:r>
        <w:rPr>
          <w:rFonts w:hint="eastAsia" w:ascii="仿宋" w:hAnsi="仿宋" w:eastAsia="仿宋"/>
          <w:sz w:val="32"/>
          <w:szCs w:val="32"/>
          <w:highlight w:val="none"/>
          <w:u w:val="single"/>
          <w:lang w:val="en-US" w:eastAsia="zh-CN"/>
        </w:rPr>
        <w:t>4</w:t>
      </w:r>
      <w:r>
        <w:rPr>
          <w:rFonts w:hint="eastAsia" w:ascii="仿宋" w:hAnsi="仿宋" w:eastAsia="仿宋"/>
          <w:sz w:val="32"/>
          <w:szCs w:val="32"/>
          <w:highlight w:val="none"/>
          <w:lang w:val="en-US" w:eastAsia="zh-CN"/>
        </w:rPr>
        <w:t>名，便民服务中心</w:t>
      </w:r>
      <w:r>
        <w:rPr>
          <w:rFonts w:hint="eastAsia" w:ascii="仿宋" w:hAnsi="仿宋" w:eastAsia="仿宋"/>
          <w:sz w:val="32"/>
          <w:szCs w:val="32"/>
          <w:highlight w:val="none"/>
          <w:u w:val="single"/>
          <w:lang w:val="en-US" w:eastAsia="zh-CN"/>
        </w:rPr>
        <w:t>5</w:t>
      </w:r>
      <w:r>
        <w:rPr>
          <w:rFonts w:hint="eastAsia" w:ascii="仿宋" w:hAnsi="仿宋" w:eastAsia="仿宋"/>
          <w:sz w:val="32"/>
          <w:szCs w:val="32"/>
          <w:highlight w:val="none"/>
          <w:lang w:val="en-US" w:eastAsia="zh-CN"/>
        </w:rPr>
        <w:t>名，卫生院</w:t>
      </w:r>
      <w:r>
        <w:rPr>
          <w:rFonts w:hint="eastAsia" w:ascii="仿宋" w:hAnsi="仿宋" w:eastAsia="仿宋"/>
          <w:sz w:val="32"/>
          <w:szCs w:val="32"/>
          <w:highlight w:val="none"/>
          <w:u w:val="single"/>
          <w:lang w:val="en-US" w:eastAsia="zh-CN"/>
        </w:rPr>
        <w:t>10</w:t>
      </w:r>
      <w:r>
        <w:rPr>
          <w:rFonts w:hint="eastAsia" w:ascii="仿宋" w:hAnsi="仿宋" w:eastAsia="仿宋"/>
          <w:sz w:val="32"/>
          <w:szCs w:val="32"/>
          <w:highlight w:val="none"/>
          <w:lang w:val="en-US" w:eastAsia="zh-CN"/>
        </w:rPr>
        <w:t>名，工人</w:t>
      </w:r>
      <w:r>
        <w:rPr>
          <w:rFonts w:hint="eastAsia" w:ascii="仿宋" w:hAnsi="仿宋" w:eastAsia="仿宋"/>
          <w:sz w:val="32"/>
          <w:szCs w:val="32"/>
          <w:highlight w:val="none"/>
          <w:u w:val="single"/>
          <w:lang w:val="en-US" w:eastAsia="zh-CN"/>
        </w:rPr>
        <w:t>1</w:t>
      </w:r>
      <w:r>
        <w:rPr>
          <w:rFonts w:hint="eastAsia" w:ascii="仿宋" w:hAnsi="仿宋" w:eastAsia="仿宋"/>
          <w:sz w:val="32"/>
          <w:szCs w:val="32"/>
          <w:highlight w:val="none"/>
          <w:lang w:val="en-US" w:eastAsia="zh-CN"/>
        </w:rPr>
        <w:t>名。</w:t>
      </w:r>
      <w:r>
        <w:rPr>
          <w:rFonts w:hint="eastAsia" w:ascii="仿宋" w:hAnsi="仿宋" w:eastAsia="仿宋"/>
          <w:sz w:val="32"/>
          <w:szCs w:val="32"/>
          <w:highlight w:val="none"/>
        </w:rPr>
        <w:t>部门领导职数</w:t>
      </w:r>
      <w:r>
        <w:rPr>
          <w:rFonts w:hint="eastAsia" w:ascii="仿宋" w:hAnsi="仿宋" w:eastAsia="仿宋"/>
          <w:sz w:val="32"/>
          <w:szCs w:val="32"/>
          <w:highlight w:val="none"/>
          <w:u w:val="single"/>
          <w:lang w:val="en-US" w:eastAsia="zh-CN"/>
        </w:rPr>
        <w:t>15</w:t>
      </w:r>
      <w:r>
        <w:rPr>
          <w:rFonts w:hint="eastAsia" w:ascii="仿宋" w:hAnsi="仿宋" w:eastAsia="仿宋"/>
          <w:sz w:val="32"/>
          <w:szCs w:val="32"/>
          <w:highlight w:val="none"/>
        </w:rPr>
        <w:t>名（正科级</w:t>
      </w:r>
      <w:r>
        <w:rPr>
          <w:rFonts w:hint="eastAsia" w:ascii="仿宋" w:hAnsi="仿宋" w:eastAsia="仿宋"/>
          <w:sz w:val="32"/>
          <w:szCs w:val="32"/>
          <w:highlight w:val="none"/>
          <w:u w:val="single"/>
          <w:lang w:val="en-US" w:eastAsia="zh-CN"/>
        </w:rPr>
        <w:t>3</w:t>
      </w:r>
      <w:r>
        <w:rPr>
          <w:rFonts w:hint="eastAsia" w:ascii="仿宋" w:hAnsi="仿宋" w:eastAsia="仿宋"/>
          <w:sz w:val="32"/>
          <w:szCs w:val="32"/>
          <w:highlight w:val="none"/>
        </w:rPr>
        <w:t>名、副科级</w:t>
      </w:r>
      <w:r>
        <w:rPr>
          <w:rFonts w:hint="eastAsia" w:ascii="仿宋" w:hAnsi="仿宋" w:eastAsia="仿宋"/>
          <w:sz w:val="32"/>
          <w:szCs w:val="32"/>
          <w:highlight w:val="none"/>
          <w:u w:val="single"/>
        </w:rPr>
        <w:t>1</w:t>
      </w:r>
      <w:r>
        <w:rPr>
          <w:rFonts w:hint="eastAsia" w:ascii="仿宋" w:hAnsi="仿宋" w:eastAsia="仿宋"/>
          <w:sz w:val="32"/>
          <w:szCs w:val="32"/>
          <w:highlight w:val="none"/>
          <w:u w:val="single"/>
          <w:lang w:val="en-US" w:eastAsia="zh-CN"/>
        </w:rPr>
        <w:t>2</w:t>
      </w:r>
      <w:r>
        <w:rPr>
          <w:rFonts w:hint="eastAsia" w:ascii="仿宋" w:hAnsi="仿宋" w:eastAsia="仿宋"/>
          <w:sz w:val="32"/>
          <w:szCs w:val="32"/>
          <w:highlight w:val="none"/>
        </w:rPr>
        <w:t>名）。下设党委办、政府办、扶贫办、人大办、文化综合服务中心，农牧综合服务中心，财政所、综治办、政务便民服务大厅、农牧办、属地办、医管办、纪委（监委）办、民政办、人武办、住建办、水利办、气象办、防抗灾办、工会、团委、妇联、组织、强基办、宣传办、国土办、环保办、编译、发改、商务、市场监督管理、卫建委、药监、农行、税务、电信、移动、政协办、经信、城市管理和综合执法、保密、机要、档案馆、统战部、民委、宗教事务、信访、政法、司法、检察院、法院、国安办、消防、应急管理、国电、统计、林业、防控、人社、审计、邮政、涉农保险、整改办、后勤服务中心、项管办等65个科室。</w:t>
      </w: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第二部分 巴青县</w:t>
      </w:r>
      <w:r>
        <w:rPr>
          <w:rFonts w:hint="eastAsia" w:ascii="Times New Roman" w:hAnsi="Times New Roman" w:eastAsia="黑体" w:cs="Times New Roman"/>
          <w:b w:val="0"/>
          <w:bCs w:val="0"/>
          <w:szCs w:val="32"/>
          <w:highlight w:val="none"/>
          <w:u w:val="none"/>
          <w:lang w:val="en-US" w:eastAsia="zh-CN"/>
        </w:rPr>
        <w:t>贡日乡人民政府</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年度部门决算表</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第三部分  巴青县</w:t>
      </w:r>
      <w:r>
        <w:rPr>
          <w:rFonts w:hint="eastAsia" w:ascii="Times New Roman" w:hAnsi="Times New Roman" w:eastAsia="黑体" w:cs="Times New Roman"/>
          <w:b w:val="0"/>
          <w:bCs w:val="0"/>
          <w:szCs w:val="32"/>
          <w:highlight w:val="none"/>
          <w:u w:val="none"/>
          <w:lang w:val="en-US" w:eastAsia="zh-CN"/>
        </w:rPr>
        <w:t>贡日乡人民政府</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，一般公共预算财政拨款收入</w:t>
      </w:r>
      <w:r>
        <w:rPr>
          <w:rFonts w:hint="eastAsia" w:ascii="Times New Roman" w:hAnsi="Times New Roman" w:eastAsia="方正仿宋_GBK" w:cs="Times New Roman"/>
          <w:szCs w:val="32"/>
          <w:highlight w:val="none"/>
          <w:u w:val="none"/>
          <w:lang w:val="en-US" w:eastAsia="zh-CN"/>
        </w:rPr>
        <w:t>4,014.67</w:t>
      </w:r>
      <w:r>
        <w:rPr>
          <w:rFonts w:hint="default" w:ascii="Times New Roman" w:hAnsi="Times New Roman" w:eastAsia="方正仿宋_GBK" w:cs="Times New Roman"/>
          <w:szCs w:val="32"/>
          <w:highlight w:val="none"/>
          <w:u w:val="none"/>
        </w:rPr>
        <w:t>万元，本年支出合计</w:t>
      </w:r>
      <w:r>
        <w:rPr>
          <w:rFonts w:hint="eastAsia" w:ascii="Times New Roman" w:hAnsi="Times New Roman" w:eastAsia="方正仿宋_GBK" w:cs="Times New Roman"/>
          <w:szCs w:val="32"/>
          <w:highlight w:val="none"/>
          <w:u w:val="none"/>
          <w:lang w:val="en-US" w:eastAsia="zh-CN"/>
        </w:rPr>
        <w:t>4014.67</w:t>
      </w:r>
      <w:r>
        <w:rPr>
          <w:rFonts w:hint="default" w:ascii="Times New Roman" w:hAnsi="Times New Roman" w:eastAsia="方正仿宋_GBK" w:cs="Times New Roman"/>
          <w:szCs w:val="32"/>
          <w:highlight w:val="none"/>
          <w:u w:val="none"/>
        </w:rPr>
        <w:t>万元，年末财政拨款结转和结余资金</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eastAsia" w:ascii="Times New Roman" w:hAnsi="Times New Roman" w:eastAsia="方正仿宋_GBK" w:cs="Times New Roman"/>
          <w:szCs w:val="32"/>
          <w:highlight w:val="none"/>
          <w:u w:val="none"/>
          <w:lang w:val="en-US" w:eastAsia="zh-CN"/>
        </w:rPr>
        <w:t>4,014.67</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 xml:space="preserve">   </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eastAsia" w:ascii="Times New Roman" w:hAnsi="Times New Roman" w:eastAsia="方正仿宋_GBK" w:cs="Times New Roman"/>
          <w:szCs w:val="32"/>
          <w:highlight w:val="none"/>
          <w:u w:val="none"/>
          <w:lang w:val="en-US" w:eastAsia="zh-CN"/>
        </w:rPr>
        <w:t>4,014.67</w:t>
      </w:r>
      <w:r>
        <w:rPr>
          <w:rFonts w:hint="default" w:ascii="Times New Roman" w:hAnsi="Times New Roman" w:eastAsia="方正仿宋_GBK" w:cs="Times New Roman"/>
          <w:szCs w:val="32"/>
          <w:highlight w:val="none"/>
          <w:u w:val="none"/>
        </w:rPr>
        <w:t>万元。其中，基本支出</w:t>
      </w:r>
      <w:r>
        <w:rPr>
          <w:rFonts w:hint="eastAsia" w:ascii="Times New Roman" w:hAnsi="Times New Roman" w:eastAsia="方正仿宋_GBK" w:cs="Times New Roman"/>
          <w:szCs w:val="32"/>
          <w:highlight w:val="none"/>
          <w:u w:val="none"/>
          <w:lang w:val="en-US" w:eastAsia="zh-CN"/>
        </w:rPr>
        <w:t>1,983.68</w:t>
      </w:r>
      <w:r>
        <w:rPr>
          <w:rFonts w:hint="default" w:ascii="Times New Roman" w:hAnsi="Times New Roman" w:eastAsia="方正仿宋_GBK" w:cs="Times New Roman"/>
          <w:szCs w:val="32"/>
          <w:highlight w:val="none"/>
          <w:u w:val="none"/>
        </w:rPr>
        <w:t>万元，项目支出</w:t>
      </w:r>
      <w:r>
        <w:rPr>
          <w:rFonts w:hint="eastAsia" w:ascii="Times New Roman" w:hAnsi="Times New Roman" w:eastAsia="方正仿宋_GBK" w:cs="Times New Roman"/>
          <w:szCs w:val="32"/>
          <w:highlight w:val="none"/>
          <w:u w:val="none"/>
          <w:lang w:val="en-US" w:eastAsia="zh-CN"/>
        </w:rPr>
        <w:t>2,030.98</w:t>
      </w:r>
      <w:r>
        <w:rPr>
          <w:rFonts w:hint="default" w:ascii="Times New Roman" w:hAnsi="Times New Roman" w:eastAsia="方正仿宋_GBK" w:cs="Times New Roman"/>
          <w:szCs w:val="32"/>
          <w:highlight w:val="none"/>
          <w:u w:val="none"/>
        </w:rPr>
        <w:t>万元，上缴上级支出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w:t>
      </w:r>
      <w:r>
        <w:rPr>
          <w:rFonts w:hint="eastAsia" w:ascii="Times New Roman" w:hAnsi="Times New Roman" w:eastAsia="方正仿宋_GBK" w:cs="Times New Roman"/>
          <w:szCs w:val="32"/>
          <w:highlight w:val="none"/>
          <w:u w:val="none"/>
          <w:lang w:val="en-US" w:eastAsia="zh-CN"/>
        </w:rPr>
        <w:t>4,014.67</w:t>
      </w:r>
      <w:r>
        <w:rPr>
          <w:rFonts w:hint="default" w:ascii="Times New Roman" w:hAnsi="Times New Roman" w:eastAsia="方正仿宋_GBK" w:cs="Times New Roman"/>
          <w:szCs w:val="32"/>
          <w:highlight w:val="none"/>
          <w:u w:val="none"/>
        </w:rPr>
        <w:t>万元。其中，一般公共预算财政拨款收入</w:t>
      </w:r>
      <w:r>
        <w:rPr>
          <w:rFonts w:hint="default" w:ascii="Times New Roman" w:hAnsi="Times New Roman" w:eastAsia="方正仿宋_GBK" w:cs="Times New Roman"/>
          <w:szCs w:val="32"/>
          <w:highlight w:val="none"/>
          <w:u w:val="none"/>
          <w:lang w:val="en-US" w:eastAsia="zh-CN"/>
        </w:rPr>
        <w:t xml:space="preserve">     </w:t>
      </w:r>
      <w:r>
        <w:rPr>
          <w:rFonts w:hint="eastAsia" w:ascii="Times New Roman" w:hAnsi="Times New Roman" w:eastAsia="方正仿宋_GBK" w:cs="Times New Roman"/>
          <w:szCs w:val="32"/>
          <w:highlight w:val="none"/>
          <w:u w:val="none"/>
          <w:lang w:val="en-US" w:eastAsia="zh-CN"/>
        </w:rPr>
        <w:t>4,014.67</w:t>
      </w:r>
      <w:r>
        <w:rPr>
          <w:rFonts w:hint="default" w:ascii="Times New Roman" w:hAnsi="Times New Roman" w:eastAsia="方正仿宋_GBK" w:cs="Times New Roman"/>
          <w:szCs w:val="32"/>
          <w:highlight w:val="none"/>
          <w:u w:val="none"/>
        </w:rPr>
        <w:t>万元，政府性基金预算财政拨款收入</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万元，国有资本经营财政拨款收入</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eastAsia" w:ascii="Times New Roman" w:hAnsi="Times New Roman" w:eastAsia="方正仿宋_GBK" w:cs="Times New Roman"/>
          <w:szCs w:val="32"/>
          <w:highlight w:val="none"/>
          <w:u w:val="none"/>
          <w:lang w:val="en-US" w:eastAsia="zh-CN"/>
        </w:rPr>
        <w:t>4,014.67</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eastAsia" w:ascii="Times New Roman" w:hAnsi="Times New Roman" w:eastAsia="方正仿宋_GBK" w:cs="Times New Roman"/>
          <w:szCs w:val="32"/>
          <w:highlight w:val="none"/>
          <w:u w:val="none"/>
          <w:lang w:val="en-US" w:eastAsia="zh-CN"/>
        </w:rPr>
        <w:t>4,014.67</w:t>
      </w:r>
      <w:r>
        <w:rPr>
          <w:rFonts w:hint="default" w:ascii="Times New Roman" w:hAnsi="Times New Roman" w:eastAsia="方正仿宋_GBK" w:cs="Times New Roman"/>
          <w:szCs w:val="32"/>
          <w:highlight w:val="none"/>
          <w:u w:val="none"/>
        </w:rPr>
        <w:t>万元。其中，一般公共预算财政拨款支出</w:t>
      </w:r>
      <w:r>
        <w:rPr>
          <w:rFonts w:hint="eastAsia" w:ascii="Times New Roman" w:hAnsi="Times New Roman" w:eastAsia="方正仿宋_GBK" w:cs="Times New Roman"/>
          <w:szCs w:val="32"/>
          <w:highlight w:val="none"/>
          <w:u w:val="none"/>
          <w:lang w:val="en-US" w:eastAsia="zh-CN"/>
        </w:rPr>
        <w:t>4,014.67</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 xml:space="preserve">    </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万元。本年财政拨款支出合计</w:t>
      </w:r>
      <w:r>
        <w:rPr>
          <w:rFonts w:hint="eastAsia" w:ascii="Times New Roman" w:hAnsi="Times New Roman" w:eastAsia="方正仿宋_GBK" w:cs="Times New Roman"/>
          <w:szCs w:val="32"/>
          <w:highlight w:val="none"/>
          <w:u w:val="none"/>
          <w:lang w:val="en-US" w:eastAsia="zh-CN"/>
        </w:rPr>
        <w:t>4,014.67</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lang w:val="en-US"/>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eastAsia" w:ascii="Times New Roman" w:hAnsi="Times New Roman" w:eastAsia="方正仿宋_GBK" w:cs="Times New Roman"/>
          <w:szCs w:val="32"/>
          <w:highlight w:val="none"/>
          <w:u w:val="none"/>
          <w:lang w:val="en-US" w:eastAsia="zh-CN"/>
        </w:rPr>
        <w:t>23.68万元。其中，公务用车购置及运行维护费23.68万元。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eastAsia" w:ascii="Times New Roman" w:hAnsi="Times New Roman" w:eastAsia="方正仿宋_GBK" w:cs="Times New Roman"/>
          <w:szCs w:val="32"/>
          <w:highlight w:val="none"/>
          <w:u w:val="none"/>
          <w:lang w:val="en-US" w:eastAsia="zh-CN"/>
        </w:rPr>
        <w:t>1,882.65</w:t>
      </w:r>
      <w:r>
        <w:rPr>
          <w:rFonts w:hint="default" w:ascii="Times New Roman" w:hAnsi="Times New Roman" w:eastAsia="方正仿宋_GBK" w:cs="Times New Roman"/>
          <w:szCs w:val="32"/>
          <w:highlight w:val="none"/>
          <w:u w:val="none"/>
        </w:rPr>
        <w:t>万元。其中，工资福利支出</w:t>
      </w:r>
      <w:r>
        <w:rPr>
          <w:rFonts w:hint="eastAsia" w:ascii="Times New Roman" w:hAnsi="Times New Roman" w:eastAsia="方正仿宋_GBK" w:cs="Times New Roman"/>
          <w:szCs w:val="32"/>
          <w:highlight w:val="none"/>
          <w:u w:val="none"/>
          <w:lang w:val="en-US" w:eastAsia="zh-CN"/>
        </w:rPr>
        <w:t>1,728.58</w:t>
      </w:r>
      <w:r>
        <w:rPr>
          <w:rFonts w:hint="default" w:ascii="Times New Roman" w:hAnsi="Times New Roman" w:eastAsia="方正仿宋_GBK" w:cs="Times New Roman"/>
          <w:szCs w:val="32"/>
          <w:highlight w:val="none"/>
          <w:u w:val="none"/>
        </w:rPr>
        <w:t>万元，对个人和家庭的补助</w:t>
      </w:r>
      <w:r>
        <w:rPr>
          <w:rFonts w:hint="eastAsia" w:ascii="Times New Roman" w:hAnsi="Times New Roman" w:eastAsia="方正仿宋_GBK" w:cs="Times New Roman"/>
          <w:szCs w:val="32"/>
          <w:highlight w:val="none"/>
          <w:u w:val="none"/>
          <w:lang w:val="en-US" w:eastAsia="zh-CN"/>
        </w:rPr>
        <w:t>154.07</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eastAsia" w:ascii="Times New Roman" w:hAnsi="Times New Roman" w:eastAsia="方正仿宋_GBK" w:cs="Times New Roman"/>
          <w:szCs w:val="32"/>
          <w:highlight w:val="none"/>
          <w:u w:val="none"/>
          <w:lang w:val="en-US" w:eastAsia="zh-CN"/>
        </w:rPr>
        <w:t>101.04</w:t>
      </w:r>
      <w:r>
        <w:rPr>
          <w:rFonts w:hint="default" w:ascii="Times New Roman" w:hAnsi="Times New Roman" w:eastAsia="方正仿宋_GBK" w:cs="Times New Roman"/>
          <w:szCs w:val="32"/>
          <w:highlight w:val="none"/>
          <w:u w:val="none"/>
        </w:rPr>
        <w:t>万元。其中，商品和服务支出</w:t>
      </w:r>
      <w:r>
        <w:rPr>
          <w:rFonts w:hint="eastAsia" w:ascii="Times New Roman" w:hAnsi="Times New Roman" w:eastAsia="方正仿宋_GBK" w:cs="Times New Roman"/>
          <w:szCs w:val="32"/>
          <w:highlight w:val="none"/>
          <w:u w:val="none"/>
          <w:lang w:val="en-US" w:eastAsia="zh-CN"/>
        </w:rPr>
        <w:t>101.04</w:t>
      </w:r>
      <w:r>
        <w:rPr>
          <w:rFonts w:hint="default" w:ascii="Times New Roman" w:hAnsi="Times New Roman" w:eastAsia="方正仿宋_GBK" w:cs="Times New Roman"/>
          <w:szCs w:val="32"/>
          <w:highlight w:val="none"/>
          <w:u w:val="none"/>
        </w:rPr>
        <w:t>万元，债务利息及费用支出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万元，其他支出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仿宋_GBK" w:cs="Times New Roman"/>
          <w:szCs w:val="32"/>
          <w:highlight w:val="none"/>
          <w:u w:val="none"/>
          <w:lang w:val="en-US"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default" w:ascii="Times New Roman" w:hAnsi="Times New Roman" w:eastAsia="方正仿宋_GBK" w:cs="Times New Roman"/>
          <w:szCs w:val="32"/>
          <w:highlight w:val="none"/>
          <w:u w:val="none"/>
          <w:lang w:val="en-US" w:eastAsia="zh-CN"/>
        </w:rPr>
        <w:t>有</w:t>
      </w:r>
      <w:r>
        <w:rPr>
          <w:rFonts w:hint="default" w:ascii="Times New Roman" w:hAnsi="Times New Roman" w:eastAsia="方正仿宋_GBK" w:cs="Times New Roman"/>
          <w:szCs w:val="32"/>
          <w:highlight w:val="none"/>
          <w:u w:val="none"/>
        </w:rPr>
        <w:t>公用车辆</w:t>
      </w:r>
      <w:r>
        <w:rPr>
          <w:rFonts w:hint="eastAsia"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lang w:val="en-US" w:eastAsia="zh-CN"/>
        </w:rPr>
        <w:t>辆</w:t>
      </w:r>
      <w:r>
        <w:rPr>
          <w:rFonts w:hint="default" w:ascii="Times New Roman" w:hAnsi="Times New Roman" w:eastAsia="方正仿宋_GBK" w:cs="Times New Roman"/>
          <w:szCs w:val="32"/>
          <w:highlight w:val="none"/>
          <w:u w:val="none"/>
          <w:lang w:eastAsia="zh-CN"/>
        </w:rPr>
        <w:t>，</w:t>
      </w:r>
      <w:r>
        <w:rPr>
          <w:rFonts w:hint="default" w:ascii="Times New Roman" w:hAnsi="Times New Roman" w:eastAsia="方正仿宋_GBK" w:cs="Times New Roman"/>
          <w:szCs w:val="32"/>
          <w:highlight w:val="none"/>
          <w:u w:val="none"/>
          <w:lang w:val="en-US" w:eastAsia="zh-CN"/>
        </w:rPr>
        <w:t>统一归</w:t>
      </w:r>
      <w:r>
        <w:rPr>
          <w:rFonts w:hint="eastAsia" w:ascii="Times New Roman" w:hAnsi="Times New Roman" w:eastAsia="方正仿宋_GBK" w:cs="Times New Roman"/>
          <w:szCs w:val="32"/>
          <w:highlight w:val="none"/>
          <w:u w:val="none"/>
          <w:lang w:val="en-US" w:eastAsia="zh-CN"/>
        </w:rPr>
        <w:t>乡</w:t>
      </w:r>
      <w:r>
        <w:rPr>
          <w:rFonts w:hint="default" w:ascii="Times New Roman" w:hAnsi="Times New Roman" w:eastAsia="方正仿宋_GBK" w:cs="Times New Roman"/>
          <w:szCs w:val="32"/>
          <w:highlight w:val="none"/>
          <w:u w:val="none"/>
          <w:lang w:val="en-US" w:eastAsia="zh-CN"/>
        </w:rPr>
        <w:t>政府后勤管理。</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bookmarkStart w:id="0" w:name="_GoBack"/>
      <w:bookmarkEnd w:id="0"/>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一、一般公共预算拨款收入：</w:t>
      </w:r>
      <w:r>
        <w:rPr>
          <w:rFonts w:hint="default" w:ascii="Times New Roman" w:hAnsi="Times New Roman" w:eastAsia="方正仿宋_GBK" w:cs="Times New Roman"/>
          <w:szCs w:val="32"/>
          <w:highlight w:val="none"/>
          <w:u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二、基本支出：</w:t>
      </w:r>
      <w:r>
        <w:rPr>
          <w:rFonts w:hint="default" w:ascii="Times New Roman" w:hAnsi="Times New Roman" w:eastAsia="方正仿宋_GBK" w:cs="Times New Roman"/>
          <w:szCs w:val="32"/>
          <w:highlight w:val="none"/>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三、“三公经费”：</w:t>
      </w:r>
      <w:r>
        <w:rPr>
          <w:rFonts w:hint="default" w:ascii="Times New Roman" w:hAnsi="Times New Roman" w:eastAsia="方正仿宋_GBK" w:cs="Times New Roman"/>
          <w:szCs w:val="32"/>
          <w:highlight w:val="none"/>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四、机关运行经费：</w:t>
      </w:r>
      <w:r>
        <w:rPr>
          <w:rFonts w:hint="default" w:ascii="Times New Roman" w:hAnsi="Times New Roman" w:eastAsia="方正仿宋_GBK" w:cs="Times New Roman"/>
          <w:szCs w:val="32"/>
          <w:highlight w:val="none"/>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u w:val="none"/>
        </w:rPr>
      </w:pPr>
    </w:p>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30A0C27"/>
    <w:rsid w:val="0BD0619E"/>
    <w:rsid w:val="0C2023B8"/>
    <w:rsid w:val="0C3476A1"/>
    <w:rsid w:val="0CD66F75"/>
    <w:rsid w:val="0CFB0E04"/>
    <w:rsid w:val="0E427E43"/>
    <w:rsid w:val="104F7BF5"/>
    <w:rsid w:val="15BA6B35"/>
    <w:rsid w:val="1772740C"/>
    <w:rsid w:val="1D606D4C"/>
    <w:rsid w:val="232D4C74"/>
    <w:rsid w:val="23680A25"/>
    <w:rsid w:val="2739626C"/>
    <w:rsid w:val="29A97F26"/>
    <w:rsid w:val="2AF15282"/>
    <w:rsid w:val="2EED096A"/>
    <w:rsid w:val="2F9905A6"/>
    <w:rsid w:val="38CD0256"/>
    <w:rsid w:val="39106EF0"/>
    <w:rsid w:val="3A457D6D"/>
    <w:rsid w:val="3C4B4F11"/>
    <w:rsid w:val="3D944A6D"/>
    <w:rsid w:val="43BD3D2A"/>
    <w:rsid w:val="44105A5D"/>
    <w:rsid w:val="462B2178"/>
    <w:rsid w:val="4F9F3625"/>
    <w:rsid w:val="580D5BA1"/>
    <w:rsid w:val="58744E8B"/>
    <w:rsid w:val="5EB25DC0"/>
    <w:rsid w:val="626C747B"/>
    <w:rsid w:val="65223CA6"/>
    <w:rsid w:val="65BD4A8A"/>
    <w:rsid w:val="67E0314A"/>
    <w:rsid w:val="6DBA6744"/>
    <w:rsid w:val="6E9309F8"/>
    <w:rsid w:val="6FCD6184"/>
    <w:rsid w:val="6FE729EA"/>
    <w:rsid w:val="70AC28EB"/>
    <w:rsid w:val="73843C53"/>
    <w:rsid w:val="744501A4"/>
    <w:rsid w:val="7991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1</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2025-10-17T08:10:07Z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