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方正小标宋_GBK" w:cs="Times New Roman"/>
          <w:sz w:val="44"/>
          <w:szCs w:val="44"/>
          <w:highlight w:val="none"/>
          <w:u w:val="none"/>
        </w:rPr>
      </w:pPr>
      <w:r>
        <w:rPr>
          <w:rFonts w:hint="default" w:ascii="Times New Roman" w:hAnsi="Times New Roman" w:eastAsia="方正小标宋_GBK" w:cs="Times New Roman"/>
          <w:sz w:val="44"/>
          <w:szCs w:val="44"/>
          <w:highlight w:val="none"/>
          <w:u w:val="none"/>
        </w:rPr>
        <w:t>巴青县</w:t>
      </w:r>
      <w:r>
        <w:rPr>
          <w:rFonts w:hint="eastAsia" w:ascii="Times New Roman" w:hAnsi="Times New Roman" w:eastAsia="方正小标宋_GBK" w:cs="Times New Roman"/>
          <w:sz w:val="44"/>
          <w:szCs w:val="44"/>
          <w:highlight w:val="none"/>
          <w:u w:val="none"/>
          <w:lang w:val="en-US" w:eastAsia="zh-CN"/>
        </w:rPr>
        <w:t>纪委监委</w:t>
      </w:r>
      <w:r>
        <w:rPr>
          <w:rFonts w:hint="default" w:ascii="Times New Roman" w:hAnsi="Times New Roman" w:eastAsia="方正小标宋_GBK" w:cs="Times New Roman"/>
          <w:sz w:val="44"/>
          <w:szCs w:val="44"/>
          <w:highlight w:val="none"/>
          <w:u w:val="none"/>
          <w:lang w:eastAsia="zh-CN"/>
        </w:rPr>
        <w:t>202</w:t>
      </w:r>
      <w:r>
        <w:rPr>
          <w:rFonts w:hint="default" w:ascii="Times New Roman" w:hAnsi="Times New Roman" w:eastAsia="方正小标宋_GBK" w:cs="Times New Roman"/>
          <w:sz w:val="44"/>
          <w:szCs w:val="44"/>
          <w:highlight w:val="none"/>
          <w:u w:val="none"/>
          <w:lang w:val="en-US" w:eastAsia="zh-CN"/>
        </w:rPr>
        <w:t>4</w:t>
      </w:r>
      <w:r>
        <w:rPr>
          <w:rFonts w:hint="default" w:ascii="Times New Roman" w:hAnsi="Times New Roman" w:eastAsia="方正小标宋_GBK" w:cs="Times New Roman"/>
          <w:sz w:val="44"/>
          <w:szCs w:val="44"/>
          <w:highlight w:val="none"/>
          <w:u w:val="none"/>
        </w:rPr>
        <w:t>年度部门决算</w:t>
      </w:r>
    </w:p>
    <w:p>
      <w:pPr>
        <w:spacing w:line="576" w:lineRule="exact"/>
        <w:jc w:val="center"/>
        <w:rPr>
          <w:rFonts w:hint="default" w:ascii="Times New Roman" w:hAnsi="Times New Roman" w:eastAsia="方正仿宋简体" w:cs="Times New Roman"/>
          <w:b/>
          <w:szCs w:val="32"/>
          <w:highlight w:val="none"/>
          <w:u w:val="none"/>
        </w:rPr>
      </w:pPr>
      <w:r>
        <w:rPr>
          <w:rFonts w:hint="default" w:ascii="Times New Roman" w:hAnsi="Times New Roman" w:eastAsia="方正仿宋_GBK" w:cs="Times New Roman"/>
          <w:b/>
          <w:szCs w:val="32"/>
          <w:highlight w:val="none"/>
          <w:u w:val="none"/>
        </w:rPr>
        <w:t>目  录</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第一部分  巴青县</w:t>
      </w:r>
      <w:r>
        <w:rPr>
          <w:rFonts w:hint="eastAsia" w:ascii="Times New Roman" w:hAnsi="Times New Roman" w:eastAsia="黑体" w:cs="Times New Roman"/>
          <w:b w:val="0"/>
          <w:bCs/>
          <w:szCs w:val="32"/>
          <w:highlight w:val="none"/>
          <w:u w:val="none"/>
          <w:lang w:val="en-US" w:eastAsia="zh-CN"/>
        </w:rPr>
        <w:t>纪委监委</w:t>
      </w:r>
      <w:r>
        <w:rPr>
          <w:rFonts w:hint="default" w:ascii="Times New Roman" w:hAnsi="Times New Roman" w:eastAsia="黑体" w:cs="Times New Roman"/>
          <w:b w:val="0"/>
          <w:bCs/>
          <w:szCs w:val="32"/>
          <w:highlight w:val="none"/>
          <w:u w:val="none"/>
        </w:rPr>
        <w:t>概况</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二、部门职责和机构设置</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第二部分  巴青县</w:t>
      </w:r>
      <w:r>
        <w:rPr>
          <w:rFonts w:hint="eastAsia" w:ascii="Times New Roman" w:hAnsi="Times New Roman" w:eastAsia="黑体" w:cs="Times New Roman"/>
          <w:b w:val="0"/>
          <w:bCs/>
          <w:szCs w:val="32"/>
          <w:highlight w:val="none"/>
          <w:u w:val="none"/>
          <w:lang w:val="en-US" w:eastAsia="zh-CN"/>
        </w:rPr>
        <w:t>纪委监委</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年度部门决算表（见附表1）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第三部分  巴青县</w:t>
      </w:r>
      <w:r>
        <w:rPr>
          <w:rFonts w:hint="eastAsia" w:ascii="Times New Roman" w:hAnsi="Times New Roman" w:eastAsia="黑体" w:cs="Times New Roman"/>
          <w:b w:val="0"/>
          <w:bCs/>
          <w:szCs w:val="32"/>
          <w:highlight w:val="none"/>
          <w:u w:val="none"/>
          <w:lang w:val="en-US" w:eastAsia="zh-CN"/>
        </w:rPr>
        <w:t>纪委监委</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w:t>
      </w:r>
      <w:r>
        <w:rPr>
          <w:rFonts w:hint="default" w:ascii="Times New Roman" w:hAnsi="Times New Roman" w:eastAsia="方正楷体简体" w:cs="Times New Roman"/>
          <w:szCs w:val="32"/>
          <w:highlight w:val="none"/>
          <w:u w:val="none"/>
          <w:lang w:eastAsia="zh-CN"/>
        </w:rPr>
        <w:t>、</w:t>
      </w:r>
      <w:r>
        <w:rPr>
          <w:rFonts w:hint="default" w:ascii="Times New Roman" w:hAnsi="Times New Roman" w:eastAsia="方正楷体简体" w:cs="Times New Roman"/>
          <w:szCs w:val="32"/>
          <w:highlight w:val="none"/>
          <w:u w:val="none"/>
        </w:rPr>
        <w:t>重点、重大项目信息</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第四部分  名词解释</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sectPr>
          <w:pgSz w:w="11906" w:h="16838"/>
          <w:pgMar w:top="2098" w:right="1474" w:bottom="1985" w:left="1588" w:header="851" w:footer="1418" w:gutter="0"/>
          <w:pgNumType w:fmt="numberInDash"/>
          <w:cols w:space="425" w:num="1"/>
          <w:docGrid w:type="linesAndChars" w:linePitch="579" w:charSpace="-849"/>
        </w:sect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第一部分 巴青县</w:t>
      </w:r>
      <w:r>
        <w:rPr>
          <w:rFonts w:hint="eastAsia" w:ascii="Times New Roman" w:hAnsi="Times New Roman" w:eastAsia="黑体" w:cs="Times New Roman"/>
          <w:b w:val="0"/>
          <w:bCs w:val="0"/>
          <w:szCs w:val="32"/>
          <w:highlight w:val="none"/>
          <w:u w:val="none"/>
          <w:lang w:val="en-US" w:eastAsia="zh-CN"/>
        </w:rPr>
        <w:t>纪委监委</w:t>
      </w:r>
      <w:r>
        <w:rPr>
          <w:rFonts w:hint="default" w:ascii="Times New Roman" w:hAnsi="Times New Roman" w:eastAsia="黑体" w:cs="Times New Roman"/>
          <w:b w:val="0"/>
          <w:bCs w:val="0"/>
          <w:szCs w:val="32"/>
          <w:highlight w:val="none"/>
          <w:u w:val="none"/>
        </w:rPr>
        <w:t>概况</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巴青县</w:t>
      </w:r>
      <w:r>
        <w:rPr>
          <w:rFonts w:hint="eastAsia" w:ascii="Times New Roman" w:hAnsi="Times New Roman" w:eastAsia="方正仿宋_GBK" w:cs="Times New Roman"/>
          <w:szCs w:val="32"/>
          <w:highlight w:val="none"/>
          <w:u w:val="none"/>
          <w:lang w:val="en-US" w:eastAsia="zh-CN"/>
        </w:rPr>
        <w:t>纪委监委</w:t>
      </w:r>
      <w:r>
        <w:rPr>
          <w:rFonts w:hint="default" w:ascii="Times New Roman" w:hAnsi="Times New Roman" w:eastAsia="方正仿宋_GBK" w:cs="Times New Roman"/>
          <w:szCs w:val="32"/>
          <w:highlight w:val="none"/>
          <w:u w:val="none"/>
        </w:rPr>
        <w:t>纳入本部门预算汇编范围的独立核算单位共1个。</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二、</w:t>
      </w:r>
      <w:r>
        <w:rPr>
          <w:rFonts w:hint="default" w:ascii="Times New Roman" w:hAnsi="Times New Roman" w:eastAsia="方正楷体简体" w:cs="Times New Roman"/>
          <w:szCs w:val="32"/>
          <w:highlight w:val="none"/>
          <w:u w:val="none"/>
        </w:rPr>
        <w:t>部门职责和机构设置</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（一）部门职责</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主要职能：</w:t>
      </w:r>
    </w:p>
    <w:p>
      <w:pPr>
        <w:ind w:firstLine="632" w:firstLineChars="200"/>
        <w:rPr>
          <w:rFonts w:ascii="仿宋" w:hAnsi="仿宋" w:eastAsia="仿宋"/>
          <w:szCs w:val="32"/>
          <w:highlight w:val="none"/>
        </w:rPr>
      </w:pPr>
      <w:r>
        <w:rPr>
          <w:rFonts w:hint="eastAsia" w:ascii="仿宋" w:hAnsi="仿宋" w:eastAsia="仿宋"/>
          <w:szCs w:val="32"/>
          <w:highlight w:val="none"/>
        </w:rPr>
        <w:t>1.负责全县党的纪律检查工作和监察工作。贯彻落实党中央、中央纪委、区党委、区纪委、市委、市纪委和县委关于纪律检查、监察工作的决定，维护党的章程和其他党内法规，检查党的路线方针和决议的执行情况，依法对行使公权力的公职人员和有关人员进行监察，协助县委推进全面从严治党、加强党风廉政建设和组织 协调反腐败工作。</w:t>
      </w:r>
    </w:p>
    <w:p>
      <w:pPr>
        <w:ind w:firstLine="632" w:firstLineChars="200"/>
        <w:rPr>
          <w:rFonts w:ascii="仿宋" w:hAnsi="仿宋" w:eastAsia="仿宋"/>
          <w:szCs w:val="32"/>
          <w:highlight w:val="none"/>
        </w:rPr>
      </w:pPr>
      <w:r>
        <w:rPr>
          <w:rFonts w:hint="eastAsia" w:ascii="仿宋" w:hAnsi="仿宋" w:eastAsia="仿宋"/>
          <w:szCs w:val="32"/>
          <w:highlight w:val="none"/>
        </w:rPr>
        <w:t>2.依照党的章程和其他党内法规履行监督、执纪、问责职责。负责经常对党员进行遵守纪律的教育，作出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ind w:firstLine="632" w:firstLineChars="200"/>
        <w:rPr>
          <w:rFonts w:ascii="仿宋" w:hAnsi="仿宋" w:eastAsia="仿宋"/>
          <w:szCs w:val="32"/>
          <w:highlight w:val="none"/>
        </w:rPr>
      </w:pPr>
      <w:r>
        <w:rPr>
          <w:rFonts w:hint="eastAsia" w:ascii="仿宋" w:hAnsi="仿宋" w:eastAsia="仿宋"/>
          <w:szCs w:val="32"/>
          <w:highlight w:val="none"/>
          <w:lang w:val="en-US" w:eastAsia="zh-CN"/>
        </w:rPr>
        <w:t>3.</w:t>
      </w:r>
      <w:r>
        <w:rPr>
          <w:rFonts w:hint="eastAsia" w:ascii="仿宋" w:hAnsi="仿宋" w:eastAsia="仿宋"/>
          <w:szCs w:val="32"/>
          <w:highlight w:val="none"/>
        </w:rPr>
        <w:t>在县委领导下，配合县委巡察工作领导小组组织开展巡察工作。联合县组织部、县巡察办对巡察结果进行督导检查。</w:t>
      </w:r>
    </w:p>
    <w:p>
      <w:pPr>
        <w:ind w:firstLine="632" w:firstLineChars="200"/>
        <w:rPr>
          <w:rFonts w:ascii="仿宋" w:hAnsi="仿宋" w:eastAsia="仿宋"/>
          <w:szCs w:val="32"/>
          <w:highlight w:val="none"/>
        </w:rPr>
      </w:pPr>
      <w:r>
        <w:rPr>
          <w:rFonts w:hint="eastAsia" w:ascii="仿宋" w:hAnsi="仿宋" w:eastAsia="仿宋"/>
          <w:szCs w:val="32"/>
          <w:highlight w:val="none"/>
        </w:rPr>
        <w:t>4.完成市纪委市纪委监委和县委交办的其他任务。</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（二）机构设置</w:t>
      </w:r>
    </w:p>
    <w:p>
      <w:pPr>
        <w:spacing w:line="576" w:lineRule="exact"/>
        <w:ind w:firstLine="631"/>
        <w:rPr>
          <w:rFonts w:ascii="仿宋" w:hAnsi="仿宋" w:eastAsia="仿宋" w:cs="方正仿宋_GBK"/>
          <w:szCs w:val="32"/>
          <w:highlight w:val="none"/>
        </w:rPr>
      </w:pPr>
      <w:r>
        <w:rPr>
          <w:rFonts w:hint="eastAsia" w:ascii="仿宋" w:hAnsi="仿宋" w:eastAsia="仿宋" w:cs="方正仿宋_GBK"/>
          <w:szCs w:val="32"/>
          <w:highlight w:val="none"/>
        </w:rPr>
        <w:t>县纪委监委机关行政编制</w:t>
      </w:r>
      <w:r>
        <w:rPr>
          <w:rFonts w:ascii="Times New Roman" w:hAnsi="Times New Roman" w:eastAsia="仿宋" w:cs="Times New Roman"/>
          <w:szCs w:val="32"/>
          <w:highlight w:val="none"/>
        </w:rPr>
        <w:t>16</w:t>
      </w:r>
      <w:r>
        <w:rPr>
          <w:rFonts w:hint="eastAsia" w:ascii="仿宋" w:hAnsi="仿宋" w:eastAsia="仿宋" w:cs="方正仿宋_GBK"/>
          <w:szCs w:val="32"/>
          <w:highlight w:val="none"/>
        </w:rPr>
        <w:t>名，部门领导职数</w:t>
      </w:r>
      <w:r>
        <w:rPr>
          <w:rFonts w:ascii="Times New Roman" w:hAnsi="Times New Roman" w:eastAsia="仿宋" w:cs="Times New Roman"/>
          <w:szCs w:val="32"/>
          <w:highlight w:val="none"/>
        </w:rPr>
        <w:t>3</w:t>
      </w:r>
      <w:r>
        <w:rPr>
          <w:rFonts w:hint="eastAsia" w:ascii="仿宋" w:hAnsi="仿宋" w:eastAsia="仿宋" w:cs="方正仿宋_GBK"/>
          <w:szCs w:val="32"/>
          <w:highlight w:val="none"/>
        </w:rPr>
        <w:t>名，纪委书记</w:t>
      </w:r>
      <w:r>
        <w:rPr>
          <w:rFonts w:ascii="Times New Roman" w:hAnsi="Times New Roman" w:eastAsia="仿宋" w:cs="Times New Roman"/>
          <w:szCs w:val="32"/>
          <w:highlight w:val="none"/>
        </w:rPr>
        <w:t>1</w:t>
      </w:r>
      <w:r>
        <w:rPr>
          <w:rFonts w:hint="eastAsia" w:ascii="仿宋" w:hAnsi="仿宋" w:eastAsia="仿宋" w:cs="方正仿宋_GBK"/>
          <w:szCs w:val="32"/>
          <w:highlight w:val="none"/>
        </w:rPr>
        <w:t>名，纪委副书记</w:t>
      </w:r>
      <w:r>
        <w:rPr>
          <w:rFonts w:ascii="Times New Roman" w:hAnsi="Times New Roman" w:eastAsia="仿宋" w:cs="Times New Roman"/>
          <w:szCs w:val="32"/>
          <w:highlight w:val="none"/>
        </w:rPr>
        <w:t>2</w:t>
      </w:r>
      <w:r>
        <w:rPr>
          <w:rFonts w:hint="eastAsia" w:ascii="仿宋" w:hAnsi="仿宋" w:eastAsia="仿宋" w:cs="方正仿宋_GBK"/>
          <w:szCs w:val="32"/>
          <w:highlight w:val="none"/>
        </w:rPr>
        <w:t>名。</w:t>
      </w:r>
    </w:p>
    <w:p>
      <w:pPr>
        <w:spacing w:line="576" w:lineRule="exact"/>
        <w:jc w:val="both"/>
        <w:rPr>
          <w:rFonts w:hint="default" w:ascii="Times New Roman" w:hAnsi="Times New Roman" w:eastAsia="黑体" w:cs="Times New Roman"/>
          <w:b w:val="0"/>
          <w:bCs w:val="0"/>
          <w:szCs w:val="32"/>
          <w:highlight w:val="none"/>
          <w:u w:val="none"/>
        </w:rPr>
      </w:pPr>
      <w:r>
        <w:rPr>
          <w:rFonts w:hint="eastAsia" w:ascii="仿宋" w:hAnsi="仿宋" w:eastAsia="仿宋" w:cs="方正仿宋_GBK"/>
          <w:szCs w:val="32"/>
          <w:highlight w:val="none"/>
        </w:rPr>
        <w:t xml:space="preserve">    在职实有人数</w:t>
      </w:r>
      <w:r>
        <w:rPr>
          <w:rFonts w:ascii="Times New Roman" w:hAnsi="Times New Roman" w:eastAsia="仿宋" w:cs="Times New Roman"/>
          <w:szCs w:val="32"/>
          <w:highlight w:val="none"/>
        </w:rPr>
        <w:t>3</w:t>
      </w:r>
      <w:r>
        <w:rPr>
          <w:rFonts w:hint="eastAsia" w:ascii="Times New Roman" w:hAnsi="Times New Roman" w:eastAsia="仿宋" w:cs="Times New Roman"/>
          <w:szCs w:val="32"/>
          <w:highlight w:val="none"/>
        </w:rPr>
        <w:t>1</w:t>
      </w:r>
      <w:r>
        <w:rPr>
          <w:rFonts w:hint="eastAsia" w:ascii="仿宋" w:hAnsi="仿宋" w:eastAsia="仿宋" w:cs="方正仿宋_GBK"/>
          <w:szCs w:val="32"/>
          <w:highlight w:val="none"/>
        </w:rPr>
        <w:t>名，其中：正科级</w:t>
      </w:r>
      <w:r>
        <w:rPr>
          <w:rFonts w:ascii="Times New Roman" w:hAnsi="Times New Roman" w:eastAsia="仿宋" w:cs="Times New Roman"/>
          <w:szCs w:val="32"/>
          <w:highlight w:val="none"/>
        </w:rPr>
        <w:t>3</w:t>
      </w:r>
      <w:r>
        <w:rPr>
          <w:rFonts w:hint="eastAsia" w:ascii="仿宋" w:hAnsi="仿宋" w:eastAsia="仿宋" w:cs="方正仿宋_GBK"/>
          <w:szCs w:val="32"/>
          <w:highlight w:val="none"/>
        </w:rPr>
        <w:t>名，副科级</w:t>
      </w:r>
      <w:r>
        <w:rPr>
          <w:rFonts w:ascii="Times New Roman" w:hAnsi="Times New Roman" w:eastAsia="仿宋" w:cs="Times New Roman"/>
          <w:szCs w:val="32"/>
          <w:highlight w:val="none"/>
        </w:rPr>
        <w:t>7</w:t>
      </w:r>
      <w:r>
        <w:rPr>
          <w:rFonts w:hint="eastAsia" w:ascii="仿宋" w:hAnsi="仿宋" w:eastAsia="仿宋" w:cs="方正仿宋_GBK"/>
          <w:szCs w:val="32"/>
          <w:highlight w:val="none"/>
        </w:rPr>
        <w:t>名，四级主任科员</w:t>
      </w:r>
      <w:r>
        <w:rPr>
          <w:rFonts w:ascii="Times New Roman" w:hAnsi="Times New Roman" w:eastAsia="仿宋" w:cs="Times New Roman"/>
          <w:szCs w:val="32"/>
          <w:highlight w:val="none"/>
        </w:rPr>
        <w:t>5</w:t>
      </w:r>
      <w:r>
        <w:rPr>
          <w:rFonts w:hint="eastAsia" w:ascii="仿宋" w:hAnsi="仿宋" w:eastAsia="仿宋" w:cs="方正仿宋_GBK"/>
          <w:szCs w:val="32"/>
          <w:highlight w:val="none"/>
        </w:rPr>
        <w:t>名，科员</w:t>
      </w:r>
      <w:r>
        <w:rPr>
          <w:rFonts w:hint="eastAsia" w:ascii="Times New Roman" w:hAnsi="Times New Roman" w:eastAsia="仿宋" w:cs="Times New Roman"/>
          <w:szCs w:val="32"/>
          <w:highlight w:val="none"/>
        </w:rPr>
        <w:t>8</w:t>
      </w:r>
      <w:r>
        <w:rPr>
          <w:rFonts w:hint="eastAsia" w:ascii="仿宋" w:hAnsi="仿宋" w:eastAsia="仿宋" w:cs="方正仿宋_GBK"/>
          <w:szCs w:val="32"/>
          <w:highlight w:val="none"/>
        </w:rPr>
        <w:t>名,事业编制5名；下设第一纪检监察室、第二纪检监察室、综合室(案件审理室)等职能科室。</w:t>
      </w: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第二部分 巴青县</w:t>
      </w:r>
      <w:r>
        <w:rPr>
          <w:rFonts w:hint="eastAsia" w:ascii="Times New Roman" w:hAnsi="Times New Roman" w:eastAsia="黑体" w:cs="Times New Roman"/>
          <w:b w:val="0"/>
          <w:bCs w:val="0"/>
          <w:szCs w:val="32"/>
          <w:highlight w:val="none"/>
          <w:u w:val="none"/>
          <w:lang w:val="en-US" w:eastAsia="zh-CN"/>
        </w:rPr>
        <w:t>纪委监委</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年度部门决算表</w:t>
      </w: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第三部分  巴青县</w:t>
      </w:r>
      <w:r>
        <w:rPr>
          <w:rFonts w:hint="eastAsia" w:ascii="Times New Roman" w:hAnsi="Times New Roman" w:eastAsia="黑体" w:cs="Times New Roman"/>
          <w:b w:val="0"/>
          <w:bCs w:val="0"/>
          <w:szCs w:val="32"/>
          <w:highlight w:val="none"/>
          <w:u w:val="none"/>
          <w:lang w:val="en-US" w:eastAsia="zh-CN"/>
        </w:rPr>
        <w:t>纪委监委</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年年初结转结余资金</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，一般公共预算财政拨款收入</w:t>
      </w:r>
      <w:r>
        <w:rPr>
          <w:rFonts w:hint="eastAsia" w:ascii="Times New Roman" w:hAnsi="Times New Roman" w:eastAsia="方正仿宋_GBK" w:cs="Times New Roman"/>
          <w:szCs w:val="32"/>
          <w:highlight w:val="none"/>
          <w:u w:val="none"/>
          <w:lang w:val="en-US" w:eastAsia="zh-CN"/>
        </w:rPr>
        <w:t>1,152.94</w:t>
      </w:r>
      <w:r>
        <w:rPr>
          <w:rFonts w:hint="default" w:ascii="Times New Roman" w:hAnsi="Times New Roman" w:eastAsia="方正仿宋_GBK" w:cs="Times New Roman"/>
          <w:szCs w:val="32"/>
          <w:highlight w:val="none"/>
          <w:u w:val="none"/>
        </w:rPr>
        <w:t>万元，本年支出合计</w:t>
      </w:r>
      <w:r>
        <w:rPr>
          <w:rFonts w:hint="eastAsia" w:ascii="Times New Roman" w:hAnsi="Times New Roman" w:eastAsia="方正仿宋_GBK" w:cs="Times New Roman"/>
          <w:szCs w:val="32"/>
          <w:highlight w:val="none"/>
          <w:u w:val="none"/>
          <w:lang w:val="en-US" w:eastAsia="zh-CN"/>
        </w:rPr>
        <w:t>1,152.94</w:t>
      </w:r>
      <w:r>
        <w:rPr>
          <w:rFonts w:hint="default" w:ascii="Times New Roman" w:hAnsi="Times New Roman" w:eastAsia="方正仿宋_GBK" w:cs="Times New Roman"/>
          <w:szCs w:val="32"/>
          <w:highlight w:val="none"/>
          <w:u w:val="none"/>
        </w:rPr>
        <w:t>万元，年末财政拨款结转和结余资金</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年收入合计</w:t>
      </w:r>
      <w:r>
        <w:rPr>
          <w:rFonts w:hint="eastAsia" w:ascii="Times New Roman" w:hAnsi="Times New Roman" w:eastAsia="方正仿宋_GBK" w:cs="Times New Roman"/>
          <w:szCs w:val="32"/>
          <w:highlight w:val="none"/>
          <w:u w:val="none"/>
          <w:lang w:val="en-US" w:eastAsia="zh-CN"/>
        </w:rPr>
        <w:t>1,152.94</w:t>
      </w:r>
      <w:r>
        <w:rPr>
          <w:rFonts w:hint="default" w:ascii="Times New Roman" w:hAnsi="Times New Roman" w:eastAsia="方正仿宋_GBK" w:cs="Times New Roman"/>
          <w:szCs w:val="32"/>
          <w:highlight w:val="none"/>
          <w:u w:val="none"/>
        </w:rPr>
        <w:t>万元。其中，财政拨款收入</w:t>
      </w:r>
      <w:r>
        <w:rPr>
          <w:rFonts w:hint="default" w:ascii="Times New Roman" w:hAnsi="Times New Roman" w:eastAsia="方正仿宋_GBK" w:cs="Times New Roman"/>
          <w:szCs w:val="32"/>
          <w:highlight w:val="none"/>
          <w:u w:val="none"/>
          <w:lang w:val="en-US" w:eastAsia="zh-CN"/>
        </w:rPr>
        <w:t xml:space="preserve">   </w:t>
      </w:r>
      <w:r>
        <w:rPr>
          <w:rFonts w:hint="eastAsia" w:ascii="Times New Roman" w:hAnsi="Times New Roman" w:eastAsia="方正仿宋_GBK" w:cs="Times New Roman"/>
          <w:szCs w:val="32"/>
          <w:highlight w:val="none"/>
          <w:u w:val="none"/>
          <w:lang w:val="en-US" w:eastAsia="zh-CN"/>
        </w:rPr>
        <w:t>1,152.94</w:t>
      </w:r>
      <w:r>
        <w:rPr>
          <w:rFonts w:hint="default" w:ascii="Times New Roman" w:hAnsi="Times New Roman" w:eastAsia="方正仿宋_GBK" w:cs="Times New Roman"/>
          <w:szCs w:val="32"/>
          <w:highlight w:val="none"/>
          <w:u w:val="none"/>
        </w:rPr>
        <w:t>万元，上级补助收入0万元，事业收入0万元，经营收入0万元，附属单位上缴收入0万元，其他收入0万元。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年支出合计</w:t>
      </w:r>
      <w:r>
        <w:rPr>
          <w:rFonts w:hint="eastAsia" w:ascii="Times New Roman" w:hAnsi="Times New Roman" w:eastAsia="方正仿宋_GBK" w:cs="Times New Roman"/>
          <w:szCs w:val="32"/>
          <w:highlight w:val="none"/>
          <w:u w:val="none"/>
          <w:lang w:val="en-US" w:eastAsia="zh-CN"/>
        </w:rPr>
        <w:t>1,152.94</w:t>
      </w:r>
      <w:r>
        <w:rPr>
          <w:rFonts w:hint="default" w:ascii="Times New Roman" w:hAnsi="Times New Roman" w:eastAsia="方正仿宋_GBK" w:cs="Times New Roman"/>
          <w:szCs w:val="32"/>
          <w:highlight w:val="none"/>
          <w:u w:val="none"/>
        </w:rPr>
        <w:t>万元。其中，基本支出</w:t>
      </w:r>
      <w:r>
        <w:rPr>
          <w:rFonts w:hint="eastAsia" w:ascii="Times New Roman" w:hAnsi="Times New Roman" w:eastAsia="方正仿宋_GBK" w:cs="Times New Roman"/>
          <w:szCs w:val="32"/>
          <w:highlight w:val="none"/>
          <w:u w:val="none"/>
          <w:lang w:val="en-US" w:eastAsia="zh-CN"/>
        </w:rPr>
        <w:t>1,050.23</w:t>
      </w:r>
      <w:r>
        <w:rPr>
          <w:rFonts w:hint="default" w:ascii="Times New Roman" w:hAnsi="Times New Roman" w:eastAsia="方正仿宋_GBK" w:cs="Times New Roman"/>
          <w:szCs w:val="32"/>
          <w:highlight w:val="none"/>
          <w:u w:val="none"/>
        </w:rPr>
        <w:t>万元，项目支出</w:t>
      </w:r>
      <w:r>
        <w:rPr>
          <w:rFonts w:hint="eastAsia" w:ascii="Times New Roman" w:hAnsi="Times New Roman" w:eastAsia="方正仿宋_GBK" w:cs="Times New Roman"/>
          <w:szCs w:val="32"/>
          <w:highlight w:val="none"/>
          <w:u w:val="none"/>
          <w:lang w:val="en-US" w:eastAsia="zh-CN"/>
        </w:rPr>
        <w:t>102.71</w:t>
      </w:r>
      <w:r>
        <w:rPr>
          <w:rFonts w:hint="default" w:ascii="Times New Roman" w:hAnsi="Times New Roman" w:eastAsia="方正仿宋_GBK" w:cs="Times New Roman"/>
          <w:szCs w:val="32"/>
          <w:highlight w:val="none"/>
          <w:u w:val="none"/>
        </w:rPr>
        <w:t>万元，上缴上级支出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万元，经营支出0万元，对附属单位补助支出0万元。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年年初财政拨款结转和结余</w:t>
      </w:r>
      <w:r>
        <w:rPr>
          <w:rFonts w:hint="default" w:ascii="Times New Roman" w:hAnsi="Times New Roman" w:eastAsia="方正仿宋_GBK" w:cs="Times New Roman"/>
          <w:szCs w:val="32"/>
          <w:highlight w:val="none"/>
          <w:u w:val="none"/>
          <w:lang w:val="en-US" w:eastAsia="zh-CN"/>
        </w:rPr>
        <w:t>资金</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w:t>
      </w:r>
      <w:r>
        <w:rPr>
          <w:rFonts w:hint="eastAsia" w:ascii="Times New Roman" w:hAnsi="Times New Roman" w:eastAsia="方正仿宋_GBK" w:cs="Times New Roman"/>
          <w:szCs w:val="32"/>
          <w:highlight w:val="none"/>
          <w:u w:val="none"/>
          <w:lang w:val="en-US" w:eastAsia="zh-CN"/>
        </w:rPr>
        <w:t>1,152.94</w:t>
      </w:r>
      <w:r>
        <w:rPr>
          <w:rFonts w:hint="default" w:ascii="Times New Roman" w:hAnsi="Times New Roman" w:eastAsia="方正仿宋_GBK" w:cs="Times New Roman"/>
          <w:szCs w:val="32"/>
          <w:highlight w:val="none"/>
          <w:u w:val="none"/>
        </w:rPr>
        <w:t>万元。其中，一般公共预算财政拨款收入</w:t>
      </w:r>
      <w:r>
        <w:rPr>
          <w:rFonts w:hint="default" w:ascii="Times New Roman" w:hAnsi="Times New Roman" w:eastAsia="方正仿宋_GBK" w:cs="Times New Roman"/>
          <w:szCs w:val="32"/>
          <w:highlight w:val="none"/>
          <w:u w:val="none"/>
          <w:lang w:val="en-US" w:eastAsia="zh-CN"/>
        </w:rPr>
        <w:t xml:space="preserve">     </w:t>
      </w:r>
      <w:r>
        <w:rPr>
          <w:rFonts w:hint="eastAsia" w:ascii="Times New Roman" w:hAnsi="Times New Roman" w:eastAsia="方正仿宋_GBK" w:cs="Times New Roman"/>
          <w:szCs w:val="32"/>
          <w:highlight w:val="none"/>
          <w:u w:val="none"/>
          <w:lang w:val="en-US" w:eastAsia="zh-CN"/>
        </w:rPr>
        <w:t>1,152.94</w:t>
      </w:r>
      <w:r>
        <w:rPr>
          <w:rFonts w:hint="default" w:ascii="Times New Roman" w:hAnsi="Times New Roman" w:eastAsia="方正仿宋_GBK" w:cs="Times New Roman"/>
          <w:szCs w:val="32"/>
          <w:highlight w:val="none"/>
          <w:u w:val="none"/>
        </w:rPr>
        <w:t>万元，政府性基金预算财政拨款收入</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万元，国有资本经营财政拨款收入</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万元。本年财政拨款收入合计</w:t>
      </w:r>
      <w:r>
        <w:rPr>
          <w:rFonts w:hint="eastAsia" w:ascii="Times New Roman" w:hAnsi="Times New Roman" w:eastAsia="方正仿宋_GBK" w:cs="Times New Roman"/>
          <w:szCs w:val="32"/>
          <w:highlight w:val="none"/>
          <w:u w:val="none"/>
          <w:lang w:val="en-US" w:eastAsia="zh-CN"/>
        </w:rPr>
        <w:t>1,152.94</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年财政拨款支出</w:t>
      </w:r>
      <w:r>
        <w:rPr>
          <w:rFonts w:hint="eastAsia" w:ascii="Times New Roman" w:hAnsi="Times New Roman" w:eastAsia="方正仿宋_GBK" w:cs="Times New Roman"/>
          <w:szCs w:val="32"/>
          <w:highlight w:val="none"/>
          <w:u w:val="none"/>
          <w:lang w:val="en-US" w:eastAsia="zh-CN"/>
        </w:rPr>
        <w:t>1,152.94</w:t>
      </w:r>
      <w:r>
        <w:rPr>
          <w:rFonts w:hint="default" w:ascii="Times New Roman" w:hAnsi="Times New Roman" w:eastAsia="方正仿宋_GBK" w:cs="Times New Roman"/>
          <w:szCs w:val="32"/>
          <w:highlight w:val="none"/>
          <w:u w:val="none"/>
        </w:rPr>
        <w:t>万元。其中，一般公共预算财政拨款支出</w:t>
      </w:r>
      <w:r>
        <w:rPr>
          <w:rFonts w:hint="default" w:ascii="Times New Roman" w:hAnsi="Times New Roman" w:eastAsia="方正仿宋_GBK" w:cs="Times New Roman"/>
          <w:szCs w:val="32"/>
          <w:highlight w:val="none"/>
          <w:u w:val="none"/>
          <w:lang w:val="en-US" w:eastAsia="zh-CN"/>
        </w:rPr>
        <w:t xml:space="preserve"> </w:t>
      </w:r>
      <w:r>
        <w:rPr>
          <w:rFonts w:hint="eastAsia" w:ascii="Times New Roman" w:hAnsi="Times New Roman" w:eastAsia="方正仿宋_GBK" w:cs="Times New Roman"/>
          <w:szCs w:val="32"/>
          <w:highlight w:val="none"/>
          <w:u w:val="none"/>
          <w:lang w:val="en-US" w:eastAsia="zh-CN"/>
        </w:rPr>
        <w:t>1,152.94</w:t>
      </w:r>
      <w:r>
        <w:rPr>
          <w:rFonts w:hint="default" w:ascii="Times New Roman" w:hAnsi="Times New Roman" w:eastAsia="方正仿宋_GBK" w:cs="Times New Roman"/>
          <w:szCs w:val="32"/>
          <w:highlight w:val="none"/>
          <w:u w:val="none"/>
        </w:rPr>
        <w:t>万元，政府性基金预算财政拨款支出</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rPr>
        <w:t>万元，国有资本经营财政拨款支出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万元。本年年末财政拨款结转和结余</w:t>
      </w:r>
      <w:r>
        <w:rPr>
          <w:rFonts w:hint="default" w:ascii="Times New Roman" w:hAnsi="Times New Roman" w:eastAsia="方正仿宋_GBK" w:cs="Times New Roman"/>
          <w:szCs w:val="32"/>
          <w:highlight w:val="none"/>
          <w:u w:val="none"/>
          <w:lang w:val="en-US" w:eastAsia="zh-CN"/>
        </w:rPr>
        <w:t>资金</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万元。本年财政拨款支出合计</w:t>
      </w:r>
      <w:r>
        <w:rPr>
          <w:rFonts w:hint="eastAsia" w:ascii="Times New Roman" w:hAnsi="Times New Roman" w:eastAsia="方正仿宋_GBK" w:cs="Times New Roman"/>
          <w:szCs w:val="32"/>
          <w:highlight w:val="none"/>
          <w:u w:val="none"/>
          <w:lang w:val="en-US" w:eastAsia="zh-CN"/>
        </w:rPr>
        <w:t>1,152.94</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年一般公共预算财政拨款“三公”经费支出</w:t>
      </w:r>
      <w:r>
        <w:rPr>
          <w:rFonts w:hint="default" w:ascii="Times New Roman" w:hAnsi="Times New Roman" w:eastAsia="方正仿宋_GBK" w:cs="Times New Roman"/>
          <w:szCs w:val="32"/>
          <w:highlight w:val="none"/>
          <w:u w:val="none"/>
          <w:lang w:val="en-US" w:eastAsia="zh-CN"/>
        </w:rPr>
        <w:t xml:space="preserve">    </w:t>
      </w:r>
      <w:r>
        <w:rPr>
          <w:rFonts w:hint="eastAsia" w:ascii="Times New Roman" w:hAnsi="Times New Roman" w:eastAsia="方正仿宋_GBK" w:cs="Times New Roman"/>
          <w:szCs w:val="32"/>
          <w:highlight w:val="none"/>
          <w:u w:val="none"/>
          <w:lang w:val="en-US" w:eastAsia="zh-CN"/>
        </w:rPr>
        <w:t>5.41</w:t>
      </w:r>
      <w:r>
        <w:rPr>
          <w:rFonts w:hint="default" w:ascii="Times New Roman" w:hAnsi="Times New Roman" w:eastAsia="方正仿宋_GBK" w:cs="Times New Roman"/>
          <w:szCs w:val="32"/>
          <w:highlight w:val="none"/>
          <w:u w:val="none"/>
        </w:rPr>
        <w:t xml:space="preserve">万元 </w:t>
      </w:r>
      <w:r>
        <w:rPr>
          <w:rFonts w:hint="eastAsia" w:ascii="Times New Roman" w:hAnsi="Times New Roman" w:eastAsia="方正仿宋_GBK" w:cs="Times New Roman"/>
          <w:szCs w:val="32"/>
          <w:highlight w:val="none"/>
          <w:u w:val="none"/>
          <w:lang w:eastAsia="zh-CN"/>
        </w:rPr>
        <w:t>。</w:t>
      </w:r>
      <w:r>
        <w:rPr>
          <w:rFonts w:hint="eastAsia" w:ascii="Times New Roman" w:hAnsi="Times New Roman" w:eastAsia="方正仿宋_GBK" w:cs="Times New Roman"/>
          <w:szCs w:val="32"/>
          <w:highlight w:val="none"/>
          <w:u w:val="none"/>
          <w:lang w:val="en-US" w:eastAsia="zh-CN"/>
        </w:rPr>
        <w:t>其中，公务用车购置及运行维护费5.41万元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年人员经费支出</w:t>
      </w:r>
      <w:r>
        <w:rPr>
          <w:rFonts w:hint="eastAsia" w:ascii="Times New Roman" w:hAnsi="Times New Roman" w:eastAsia="方正仿宋_GBK" w:cs="Times New Roman"/>
          <w:szCs w:val="32"/>
          <w:highlight w:val="none"/>
          <w:u w:val="none"/>
          <w:lang w:val="en-US" w:eastAsia="zh-CN"/>
        </w:rPr>
        <w:t>1004.09</w:t>
      </w:r>
      <w:r>
        <w:rPr>
          <w:rFonts w:hint="default" w:ascii="Times New Roman" w:hAnsi="Times New Roman" w:eastAsia="方正仿宋_GBK" w:cs="Times New Roman"/>
          <w:szCs w:val="32"/>
          <w:highlight w:val="none"/>
          <w:u w:val="none"/>
        </w:rPr>
        <w:t>万元。其中，工资福利支出</w:t>
      </w:r>
      <w:r>
        <w:rPr>
          <w:rFonts w:hint="eastAsia" w:ascii="Times New Roman" w:hAnsi="Times New Roman" w:eastAsia="方正仿宋_GBK" w:cs="Times New Roman"/>
          <w:szCs w:val="32"/>
          <w:highlight w:val="none"/>
          <w:u w:val="none"/>
          <w:lang w:val="en-US" w:eastAsia="zh-CN"/>
        </w:rPr>
        <w:t>1004.09</w:t>
      </w:r>
      <w:r>
        <w:rPr>
          <w:rFonts w:hint="default" w:ascii="Times New Roman" w:hAnsi="Times New Roman" w:eastAsia="方正仿宋_GBK" w:cs="Times New Roman"/>
          <w:szCs w:val="32"/>
          <w:highlight w:val="none"/>
          <w:u w:val="none"/>
        </w:rPr>
        <w:t>万元，对个人和家庭的补助</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年公用经费支出</w:t>
      </w:r>
      <w:r>
        <w:rPr>
          <w:rFonts w:hint="eastAsia" w:ascii="Times New Roman" w:hAnsi="Times New Roman" w:eastAsia="方正仿宋_GBK" w:cs="Times New Roman"/>
          <w:szCs w:val="32"/>
          <w:highlight w:val="none"/>
          <w:u w:val="none"/>
          <w:lang w:val="en-US" w:eastAsia="zh-CN"/>
        </w:rPr>
        <w:t>46.14</w:t>
      </w:r>
      <w:r>
        <w:rPr>
          <w:rFonts w:hint="default" w:ascii="Times New Roman" w:hAnsi="Times New Roman" w:eastAsia="方正仿宋_GBK" w:cs="Times New Roman"/>
          <w:szCs w:val="32"/>
          <w:highlight w:val="none"/>
          <w:u w:val="none"/>
        </w:rPr>
        <w:t>万元。其中，商品和服务支出</w:t>
      </w:r>
      <w:r>
        <w:rPr>
          <w:rFonts w:hint="eastAsia" w:ascii="Times New Roman" w:hAnsi="Times New Roman" w:eastAsia="方正仿宋_GBK" w:cs="Times New Roman"/>
          <w:szCs w:val="32"/>
          <w:highlight w:val="none"/>
          <w:u w:val="none"/>
          <w:lang w:val="en-US" w:eastAsia="zh-CN"/>
        </w:rPr>
        <w:t>46.14</w:t>
      </w:r>
      <w:r>
        <w:rPr>
          <w:rFonts w:hint="default" w:ascii="Times New Roman" w:hAnsi="Times New Roman" w:eastAsia="方正仿宋_GBK" w:cs="Times New Roman"/>
          <w:szCs w:val="32"/>
          <w:highlight w:val="none"/>
          <w:u w:val="none"/>
        </w:rPr>
        <w:t>万元，债务利息及费用支出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万元，资本性支出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万元，其他支出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年无政府采购项目。</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仿宋_GBK" w:cs="Times New Roman"/>
          <w:szCs w:val="32"/>
          <w:highlight w:val="none"/>
          <w:u w:val="none"/>
          <w:lang w:val="en-US" w:eastAsia="zh-CN"/>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w:t>
      </w:r>
      <w:r>
        <w:rPr>
          <w:rFonts w:hint="default" w:ascii="Times New Roman" w:hAnsi="Times New Roman" w:eastAsia="方正仿宋_GBK" w:cs="Times New Roman"/>
          <w:szCs w:val="32"/>
          <w:highlight w:val="none"/>
          <w:u w:val="none"/>
          <w:lang w:val="en-US" w:eastAsia="zh-CN"/>
        </w:rPr>
        <w:t>有</w:t>
      </w:r>
      <w:r>
        <w:rPr>
          <w:rFonts w:hint="default" w:ascii="Times New Roman" w:hAnsi="Times New Roman" w:eastAsia="方正仿宋_GBK" w:cs="Times New Roman"/>
          <w:szCs w:val="32"/>
          <w:highlight w:val="none"/>
          <w:u w:val="none"/>
        </w:rPr>
        <w:t>公用车辆</w:t>
      </w:r>
      <w:r>
        <w:rPr>
          <w:rFonts w:hint="eastAsia" w:ascii="Times New Roman" w:hAnsi="Times New Roman" w:eastAsia="方正仿宋_GBK" w:cs="Times New Roman"/>
          <w:szCs w:val="32"/>
          <w:highlight w:val="none"/>
          <w:u w:val="none"/>
          <w:lang w:val="en-US" w:eastAsia="zh-CN"/>
        </w:rPr>
        <w:t>1</w:t>
      </w:r>
      <w:r>
        <w:rPr>
          <w:rFonts w:hint="default" w:ascii="Times New Roman" w:hAnsi="Times New Roman" w:eastAsia="方正仿宋_GBK" w:cs="Times New Roman"/>
          <w:szCs w:val="32"/>
          <w:highlight w:val="none"/>
          <w:u w:val="none"/>
          <w:lang w:val="en-US" w:eastAsia="zh-CN"/>
        </w:rPr>
        <w:t>辆</w:t>
      </w:r>
      <w:r>
        <w:rPr>
          <w:rFonts w:hint="default" w:ascii="Times New Roman" w:hAnsi="Times New Roman" w:eastAsia="方正仿宋_GBK" w:cs="Times New Roman"/>
          <w:szCs w:val="32"/>
          <w:highlight w:val="none"/>
          <w:u w:val="none"/>
          <w:lang w:eastAsia="zh-CN"/>
        </w:rPr>
        <w:t>，</w:t>
      </w:r>
      <w:r>
        <w:rPr>
          <w:rFonts w:hint="eastAsia" w:ascii="Times New Roman" w:hAnsi="Times New Roman" w:eastAsia="方正仿宋_GBK" w:cs="Times New Roman"/>
          <w:szCs w:val="32"/>
          <w:highlight w:val="none"/>
          <w:u w:val="none"/>
          <w:lang w:val="en-US" w:eastAsia="zh-CN"/>
        </w:rPr>
        <w:t>统一归政府办后勤管理</w:t>
      </w:r>
      <w:r>
        <w:rPr>
          <w:rFonts w:hint="default" w:ascii="Times New Roman" w:hAnsi="Times New Roman" w:eastAsia="方正仿宋_GBK" w:cs="Times New Roman"/>
          <w:szCs w:val="32"/>
          <w:highlight w:val="none"/>
          <w:u w:val="none"/>
          <w:lang w:val="en-US" w:eastAsia="zh-CN"/>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年无政府债务。</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十、重点、重大项目信息</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年无重点、重大项目。</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bookmarkStart w:id="0" w:name="_GoBack"/>
      <w:bookmarkEnd w:id="0"/>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方正仿宋_GBK" w:cs="Times New Roman"/>
          <w:b/>
          <w:bCs/>
          <w:szCs w:val="32"/>
          <w:highlight w:val="none"/>
          <w:u w:val="none"/>
        </w:rPr>
      </w:pPr>
      <w:r>
        <w:rPr>
          <w:rFonts w:hint="default" w:ascii="Times New Roman" w:hAnsi="Times New Roman" w:eastAsia="黑体" w:cs="Times New Roman"/>
          <w:b w:val="0"/>
          <w:bCs w:val="0"/>
          <w:szCs w:val="32"/>
          <w:highlight w:val="none"/>
          <w:u w:val="none"/>
        </w:rPr>
        <w:t>第四部分</w:t>
      </w:r>
      <w:r>
        <w:rPr>
          <w:rFonts w:hint="default" w:ascii="Times New Roman" w:hAnsi="Times New Roman" w:eastAsia="黑体" w:cs="Times New Roman"/>
          <w:b w:val="0"/>
          <w:bCs w:val="0"/>
          <w:szCs w:val="32"/>
          <w:highlight w:val="none"/>
          <w:u w:val="none"/>
          <w:lang w:val="en-US" w:eastAsia="zh-CN"/>
        </w:rPr>
        <w:t xml:space="preserve"> </w:t>
      </w:r>
      <w:r>
        <w:rPr>
          <w:rFonts w:hint="default" w:ascii="Times New Roman" w:hAnsi="Times New Roman" w:eastAsia="方正仿宋_GBK" w:cs="Times New Roman"/>
          <w:b/>
          <w:bCs/>
          <w:szCs w:val="32"/>
          <w:highlight w:val="none"/>
          <w:u w:val="none"/>
        </w:rPr>
        <w:t>名词解释</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一、一般公共预算拨款收入：</w:t>
      </w:r>
      <w:r>
        <w:rPr>
          <w:rFonts w:hint="default" w:ascii="Times New Roman" w:hAnsi="Times New Roman" w:eastAsia="方正仿宋_GBK" w:cs="Times New Roman"/>
          <w:szCs w:val="32"/>
          <w:highlight w:val="none"/>
          <w:u w:val="none"/>
        </w:rPr>
        <w:t>指财政部门当年拨付的资金。</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二、基本支出：</w:t>
      </w:r>
      <w:r>
        <w:rPr>
          <w:rFonts w:hint="default" w:ascii="Times New Roman" w:hAnsi="Times New Roman" w:eastAsia="方正仿宋_GBK" w:cs="Times New Roman"/>
          <w:szCs w:val="32"/>
          <w:highlight w:val="none"/>
          <w:u w:val="none"/>
        </w:rPr>
        <w:t>是指为保障机构正常运转，完成日常工作任务而发生的人员支出和共用支出。</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三、“三公经费”：</w:t>
      </w:r>
      <w:r>
        <w:rPr>
          <w:rFonts w:hint="default" w:ascii="Times New Roman" w:hAnsi="Times New Roman" w:eastAsia="方正仿宋_GBK" w:cs="Times New Roman"/>
          <w:szCs w:val="32"/>
          <w:highlight w:val="none"/>
          <w:u w:val="none"/>
        </w:rPr>
        <w:t>纳入财政预决算管理的“三公”经费，是指部门用财政拨款安排的因公出国（境）费、公务用车购置及运行费和公务接待费。</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四、机关运行经费：</w:t>
      </w:r>
      <w:r>
        <w:rPr>
          <w:rFonts w:hint="default" w:ascii="Times New Roman" w:hAnsi="Times New Roman" w:eastAsia="方正仿宋_GBK" w:cs="Times New Roman"/>
          <w:szCs w:val="32"/>
          <w:highlight w:val="none"/>
          <w:u w:val="none"/>
        </w:rPr>
        <w:t>是指各部门的公用经费，包括办公及印刷费、邮电费、差旅费、会议费、福利费、日常维修费、水电费、工会经费、公务接待费、公务用车运行费及其他费用。</w:t>
      </w:r>
    </w:p>
    <w:p>
      <w:pPr>
        <w:spacing w:line="576" w:lineRule="exact"/>
        <w:rPr>
          <w:rFonts w:hint="default" w:ascii="Times New Roman" w:hAnsi="Times New Roman" w:eastAsia="方正仿宋_GBK" w:cs="Times New Roman"/>
          <w:szCs w:val="32"/>
          <w:highlight w:val="none"/>
          <w:u w:val="none"/>
        </w:rPr>
      </w:pPr>
    </w:p>
    <w:sectPr>
      <w:footerReference r:id="rId3" w:type="default"/>
      <w:footerReference r:id="rId4" w:type="even"/>
      <w:pgSz w:w="11906" w:h="16838"/>
      <w:pgMar w:top="2098" w:right="1474" w:bottom="1985" w:left="1588" w:header="851" w:footer="1418"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2477770</wp:posOffset>
              </wp:positionH>
              <wp:positionV relativeFrom="paragraph">
                <wp:posOffset>0</wp:posOffset>
              </wp:positionV>
              <wp:extent cx="441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1pt;margin-top:0pt;height:144pt;width:34.75pt;mso-position-horizontal-relative:margin;z-index:251659264;mso-width-relative:page;mso-height-relative:page;" filled="f" stroked="f" coordsize="21600,21600" o:gfxdata="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42yXvWAAAACAEA&#10;AA8AAAAAAAAAAQAgAAAAIgAAAGRycy9kb3ducmV2LnhtbFBLAQIUABQAAAAIAIdO4kCSU0n6HAIA&#10;ABQEAAAOAAAAAAAAAAEAIAAAACUBAABkcnMvZTJvRG9jLnhtbFBLBQYAAAAABgAGAFkBAACzBQAA&#10;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ZGQ4YTRjOWFkNmQ1M2I0YWJjYWUyZWRiNjQwNzUifQ=="/>
  </w:docVars>
  <w:rsids>
    <w:rsidRoot w:val="00BD6503"/>
    <w:rsid w:val="00037884"/>
    <w:rsid w:val="0007665C"/>
    <w:rsid w:val="000D46E4"/>
    <w:rsid w:val="001076DA"/>
    <w:rsid w:val="001168A7"/>
    <w:rsid w:val="001D459B"/>
    <w:rsid w:val="00227802"/>
    <w:rsid w:val="00247A27"/>
    <w:rsid w:val="0026485A"/>
    <w:rsid w:val="00274DC3"/>
    <w:rsid w:val="00281225"/>
    <w:rsid w:val="002B4237"/>
    <w:rsid w:val="002C3EB5"/>
    <w:rsid w:val="0032265F"/>
    <w:rsid w:val="00367D2D"/>
    <w:rsid w:val="00372D79"/>
    <w:rsid w:val="0039579C"/>
    <w:rsid w:val="003B6733"/>
    <w:rsid w:val="004826E3"/>
    <w:rsid w:val="004A737F"/>
    <w:rsid w:val="004A7F9F"/>
    <w:rsid w:val="004C2901"/>
    <w:rsid w:val="004E29C2"/>
    <w:rsid w:val="004F1C33"/>
    <w:rsid w:val="00506C8E"/>
    <w:rsid w:val="00524803"/>
    <w:rsid w:val="00566324"/>
    <w:rsid w:val="005B7F37"/>
    <w:rsid w:val="00657E6C"/>
    <w:rsid w:val="006740AD"/>
    <w:rsid w:val="0077198D"/>
    <w:rsid w:val="00792B41"/>
    <w:rsid w:val="00796391"/>
    <w:rsid w:val="007C0976"/>
    <w:rsid w:val="00804FA8"/>
    <w:rsid w:val="00844FCD"/>
    <w:rsid w:val="008F65A6"/>
    <w:rsid w:val="00930C06"/>
    <w:rsid w:val="00945FCF"/>
    <w:rsid w:val="00995FA3"/>
    <w:rsid w:val="009C73B9"/>
    <w:rsid w:val="009E37B1"/>
    <w:rsid w:val="00A82CBE"/>
    <w:rsid w:val="00AE5B27"/>
    <w:rsid w:val="00AF06EC"/>
    <w:rsid w:val="00B35B08"/>
    <w:rsid w:val="00BA6E10"/>
    <w:rsid w:val="00BB4A02"/>
    <w:rsid w:val="00BD4B04"/>
    <w:rsid w:val="00BD6503"/>
    <w:rsid w:val="00C32BA5"/>
    <w:rsid w:val="00C60103"/>
    <w:rsid w:val="00C645DF"/>
    <w:rsid w:val="00C92FBF"/>
    <w:rsid w:val="00C94D14"/>
    <w:rsid w:val="00CC4899"/>
    <w:rsid w:val="00CF54C0"/>
    <w:rsid w:val="00D029FB"/>
    <w:rsid w:val="00D34855"/>
    <w:rsid w:val="00D45A22"/>
    <w:rsid w:val="00D6631F"/>
    <w:rsid w:val="00D81276"/>
    <w:rsid w:val="00DB6B0E"/>
    <w:rsid w:val="00DF3E56"/>
    <w:rsid w:val="00E44AF6"/>
    <w:rsid w:val="00E91CE7"/>
    <w:rsid w:val="00EB4C93"/>
    <w:rsid w:val="00EF1725"/>
    <w:rsid w:val="00F33A91"/>
    <w:rsid w:val="00FB76C8"/>
    <w:rsid w:val="030A0C27"/>
    <w:rsid w:val="07782828"/>
    <w:rsid w:val="0C2023B8"/>
    <w:rsid w:val="0C3476A1"/>
    <w:rsid w:val="0CD66F75"/>
    <w:rsid w:val="0CFB0E04"/>
    <w:rsid w:val="0E427E43"/>
    <w:rsid w:val="104F7BF5"/>
    <w:rsid w:val="15BA6B35"/>
    <w:rsid w:val="1772740C"/>
    <w:rsid w:val="1D606D4C"/>
    <w:rsid w:val="232D4C74"/>
    <w:rsid w:val="250326E7"/>
    <w:rsid w:val="255D50D1"/>
    <w:rsid w:val="2739626C"/>
    <w:rsid w:val="29A97F26"/>
    <w:rsid w:val="2AF15282"/>
    <w:rsid w:val="2EED096A"/>
    <w:rsid w:val="2F9905A6"/>
    <w:rsid w:val="38CD0256"/>
    <w:rsid w:val="39106EF0"/>
    <w:rsid w:val="3A457D6D"/>
    <w:rsid w:val="3C4B4F11"/>
    <w:rsid w:val="3D944A6D"/>
    <w:rsid w:val="43BD3D2A"/>
    <w:rsid w:val="44105A5D"/>
    <w:rsid w:val="462B2178"/>
    <w:rsid w:val="4F9F3625"/>
    <w:rsid w:val="580D5BA1"/>
    <w:rsid w:val="58744E8B"/>
    <w:rsid w:val="5EB25DC0"/>
    <w:rsid w:val="626C747B"/>
    <w:rsid w:val="65223CA6"/>
    <w:rsid w:val="65BD4A8A"/>
    <w:rsid w:val="67E0314A"/>
    <w:rsid w:val="6E9309F8"/>
    <w:rsid w:val="6FCD6184"/>
    <w:rsid w:val="6FE729EA"/>
    <w:rsid w:val="709C5D43"/>
    <w:rsid w:val="70AC28EB"/>
    <w:rsid w:val="724B06F4"/>
    <w:rsid w:val="73843C53"/>
    <w:rsid w:val="744501A4"/>
    <w:rsid w:val="7991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next w:val="1"/>
    <w:link w:val="9"/>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sz w:val="36"/>
      <w:szCs w:val="36"/>
      <w:lang w:val="en-US" w:eastAsia="ja-JP" w:bidi="ar-SA"/>
      <w14:textFill>
        <w14:solidFill>
          <w14:schemeClr w14:val="accent1"/>
        </w14:solidFill>
      </w14:textFill>
    </w:rPr>
  </w:style>
  <w:style w:type="paragraph" w:styleId="3">
    <w:name w:val="heading 2"/>
    <w:next w:val="1"/>
    <w:link w:val="10"/>
    <w:unhideWhenUsed/>
    <w:qFormat/>
    <w:uiPriority w:val="9"/>
    <w:pPr>
      <w:keepNext/>
      <w:keepLines/>
      <w:spacing w:before="120" w:after="120"/>
      <w:outlineLvl w:val="1"/>
    </w:pPr>
    <w:rPr>
      <w:rFonts w:eastAsia="Microsoft YaHei UI" w:asciiTheme="minorHAnsi" w:hAnsiTheme="minorHAnsi" w:cstheme="minorBidi"/>
      <w:b/>
      <w:bCs/>
      <w:color w:val="1F497D" w:themeColor="text2"/>
      <w:sz w:val="26"/>
      <w:szCs w:val="26"/>
      <w:lang w:val="en-US" w:eastAsia="ja-JP" w:bidi="ar-SA"/>
      <w14:textFill>
        <w14:solidFill>
          <w14:schemeClr w14:val="tx2"/>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eastAsia="Microsoft YaHei UI" w:asciiTheme="majorHAnsi" w:hAnsiTheme="majorHAnsi" w:cstheme="majorBidi"/>
      <w:color w:val="4F81BD" w:themeColor="accent1"/>
      <w:kern w:val="0"/>
      <w:sz w:val="36"/>
      <w:szCs w:val="36"/>
      <w:lang w:eastAsia="ja-JP"/>
      <w14:textFill>
        <w14:solidFill>
          <w14:schemeClr w14:val="accent1"/>
        </w14:solidFill>
      </w14:textFill>
    </w:rPr>
  </w:style>
  <w:style w:type="character" w:customStyle="1" w:styleId="10">
    <w:name w:val="标题 2 Char"/>
    <w:basedOn w:val="8"/>
    <w:link w:val="3"/>
    <w:qFormat/>
    <w:uiPriority w:val="9"/>
    <w:rPr>
      <w:rFonts w:eastAsia="Microsoft YaHei UI"/>
      <w:b/>
      <w:bCs/>
      <w:color w:val="1F497D" w:themeColor="text2"/>
      <w:kern w:val="0"/>
      <w:sz w:val="26"/>
      <w:szCs w:val="26"/>
      <w:lang w:eastAsia="ja-JP"/>
      <w14:textFill>
        <w14:solidFill>
          <w14:schemeClr w14:val="tx2"/>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614E5-6592-40E0-B01A-6D6B56A59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715</Words>
  <Characters>4082</Characters>
  <Lines>34</Lines>
  <Paragraphs>9</Paragraphs>
  <TotalTime>2</TotalTime>
  <ScaleCrop>false</ScaleCrop>
  <LinksUpToDate>false</LinksUpToDate>
  <CharactersWithSpaces>4788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2020-08-14T09:05:00Z</dcterms:created>
  <dc:creator>ds</dc:creator>
  <cp:lastModifiedBy>Administrator</cp:lastModifiedBy>
  <dcterms:modified xsi:type="dcterms:W3CDTF">2025-10-21T02:58:10Z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B36C5C413B5B430EB5CB2A0CCE2C8593</vt:lpwstr>
  </property>
</Properties>
</file>