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hint="default" w:ascii="Times New Roman" w:hAnsi="Times New Roman" w:eastAsia="方正小标宋_GBK" w:cs="Times New Roman"/>
          <w:sz w:val="44"/>
          <w:szCs w:val="44"/>
          <w:highlight w:val="none"/>
          <w:u w:val="none"/>
        </w:rPr>
      </w:pPr>
      <w:r>
        <w:rPr>
          <w:rFonts w:hint="default" w:ascii="Times New Roman" w:hAnsi="Times New Roman" w:eastAsia="方正小标宋_GBK" w:cs="Times New Roman"/>
          <w:sz w:val="44"/>
          <w:szCs w:val="44"/>
          <w:highlight w:val="none"/>
          <w:u w:val="none"/>
          <w:lang w:val="en-US" w:eastAsia="zh-CN"/>
        </w:rPr>
        <w:t>巴青县江绵乡人民政府</w:t>
      </w:r>
      <w:r>
        <w:rPr>
          <w:rFonts w:hint="default" w:ascii="Times New Roman" w:hAnsi="Times New Roman" w:eastAsia="方正小标宋_GBK" w:cs="Times New Roman"/>
          <w:sz w:val="44"/>
          <w:szCs w:val="44"/>
          <w:highlight w:val="none"/>
          <w:u w:val="none"/>
          <w:lang w:eastAsia="zh-CN"/>
        </w:rPr>
        <w:t>202</w:t>
      </w:r>
      <w:r>
        <w:rPr>
          <w:rFonts w:hint="default" w:ascii="Times New Roman" w:hAnsi="Times New Roman" w:eastAsia="方正小标宋_GBK" w:cs="Times New Roman"/>
          <w:sz w:val="44"/>
          <w:szCs w:val="44"/>
          <w:highlight w:val="none"/>
          <w:u w:val="none"/>
          <w:lang w:val="en-US" w:eastAsia="zh-CN"/>
        </w:rPr>
        <w:t>4</w:t>
      </w:r>
      <w:r>
        <w:rPr>
          <w:rFonts w:hint="default" w:ascii="Times New Roman" w:hAnsi="Times New Roman" w:eastAsia="方正小标宋_GBK" w:cs="Times New Roman"/>
          <w:sz w:val="44"/>
          <w:szCs w:val="44"/>
          <w:highlight w:val="none"/>
          <w:u w:val="none"/>
        </w:rPr>
        <w:t>年度部门决算</w:t>
      </w:r>
    </w:p>
    <w:p>
      <w:pPr>
        <w:spacing w:line="576" w:lineRule="exact"/>
        <w:jc w:val="center"/>
        <w:rPr>
          <w:rFonts w:hint="default" w:ascii="Times New Roman" w:hAnsi="Times New Roman" w:eastAsia="方正仿宋简体" w:cs="Times New Roman"/>
          <w:b/>
          <w:szCs w:val="32"/>
          <w:highlight w:val="none"/>
          <w:u w:val="none"/>
        </w:rPr>
      </w:pPr>
      <w:r>
        <w:rPr>
          <w:rFonts w:hint="default" w:ascii="Times New Roman" w:hAnsi="Times New Roman" w:eastAsia="方正仿宋_GBK" w:cs="Times New Roman"/>
          <w:b/>
          <w:szCs w:val="32"/>
          <w:highlight w:val="none"/>
          <w:u w:val="none"/>
        </w:rPr>
        <w:t>目  录</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第一部分  巴青县江绵乡人民政府概况</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楷体简体" w:cs="Times New Roman"/>
          <w:b/>
          <w:szCs w:val="32"/>
          <w:highlight w:val="none"/>
          <w:u w:val="none"/>
        </w:rPr>
      </w:pPr>
      <w:r>
        <w:rPr>
          <w:rFonts w:hint="default" w:ascii="Times New Roman" w:hAnsi="Times New Roman" w:eastAsia="方正楷体简体" w:cs="Times New Roman"/>
          <w:szCs w:val="32"/>
          <w:highlight w:val="none"/>
          <w:u w:val="none"/>
        </w:rPr>
        <w:t>二、部门职责和机构设置</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第二部分  巴青县江绵乡人民政府</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年度部门决算表（见附表1）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第三部分  巴青县江绵乡人民政府</w:t>
      </w:r>
      <w:r>
        <w:rPr>
          <w:rFonts w:hint="default" w:ascii="Times New Roman" w:hAnsi="Times New Roman" w:eastAsia="黑体" w:cs="Times New Roman"/>
          <w:b w:val="0"/>
          <w:bCs/>
          <w:szCs w:val="32"/>
          <w:highlight w:val="none"/>
          <w:u w:val="none"/>
          <w:lang w:eastAsia="zh-CN"/>
        </w:rPr>
        <w:t>202</w:t>
      </w:r>
      <w:r>
        <w:rPr>
          <w:rFonts w:hint="default" w:ascii="Times New Roman" w:hAnsi="Times New Roman" w:eastAsia="黑体" w:cs="Times New Roman"/>
          <w:b w:val="0"/>
          <w:bCs/>
          <w:szCs w:val="32"/>
          <w:highlight w:val="none"/>
          <w:u w:val="none"/>
          <w:lang w:val="en-US" w:eastAsia="zh-CN"/>
        </w:rPr>
        <w:t>4</w:t>
      </w:r>
      <w:r>
        <w:rPr>
          <w:rFonts w:hint="default" w:ascii="Times New Roman" w:hAnsi="Times New Roman" w:eastAsia="黑体" w:cs="Times New Roman"/>
          <w:b w:val="0"/>
          <w:bCs/>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w:t>
      </w:r>
      <w:r>
        <w:rPr>
          <w:rFonts w:hint="default" w:ascii="Times New Roman" w:hAnsi="Times New Roman" w:eastAsia="方正楷体简体" w:cs="Times New Roman"/>
          <w:szCs w:val="32"/>
          <w:highlight w:val="none"/>
          <w:u w:val="none"/>
          <w:lang w:eastAsia="zh-CN"/>
        </w:rPr>
        <w:t>、</w:t>
      </w:r>
      <w:r>
        <w:rPr>
          <w:rFonts w:hint="default" w:ascii="Times New Roman" w:hAnsi="Times New Roman" w:eastAsia="方正楷体简体" w:cs="Times New Roman"/>
          <w:szCs w:val="32"/>
          <w:highlight w:val="none"/>
          <w:u w:val="none"/>
        </w:rPr>
        <w:t>重点、重大项目信息</w:t>
      </w:r>
    </w:p>
    <w:p>
      <w:pPr>
        <w:spacing w:line="576" w:lineRule="exact"/>
        <w:ind w:firstLine="632" w:firstLineChars="200"/>
        <w:rPr>
          <w:rFonts w:hint="default" w:ascii="Times New Roman" w:hAnsi="Times New Roman" w:eastAsia="黑体" w:cs="Times New Roman"/>
          <w:b w:val="0"/>
          <w:bCs/>
          <w:szCs w:val="32"/>
          <w:highlight w:val="none"/>
          <w:u w:val="none"/>
        </w:rPr>
      </w:pPr>
      <w:r>
        <w:rPr>
          <w:rFonts w:hint="default" w:ascii="Times New Roman" w:hAnsi="Times New Roman" w:eastAsia="黑体" w:cs="Times New Roman"/>
          <w:b w:val="0"/>
          <w:bCs/>
          <w:szCs w:val="32"/>
          <w:highlight w:val="none"/>
          <w:u w:val="none"/>
        </w:rPr>
        <w:t>第四部分  名词解释</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sectPr>
          <w:pgSz w:w="11906" w:h="16838"/>
          <w:pgMar w:top="2098" w:right="1474" w:bottom="1985" w:left="1588" w:header="851" w:footer="1418" w:gutter="0"/>
          <w:pgNumType w:fmt="numberInDash"/>
          <w:cols w:space="425" w:num="1"/>
          <w:docGrid w:type="linesAndChars" w:linePitch="579" w:charSpace="-849"/>
        </w:sect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第一部分 巴青县江绵乡人民政府概况</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一、部门决算单位构成</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巴青县</w:t>
      </w:r>
      <w:r>
        <w:rPr>
          <w:rFonts w:hint="eastAsia" w:ascii="Times New Roman" w:hAnsi="Times New Roman" w:eastAsia="方正仿宋_GBK" w:cs="Times New Roman"/>
          <w:szCs w:val="32"/>
          <w:highlight w:val="none"/>
          <w:u w:val="none"/>
          <w:lang w:val="en-US" w:eastAsia="zh-CN"/>
        </w:rPr>
        <w:t>江绵乡人民政府</w:t>
      </w:r>
      <w:r>
        <w:rPr>
          <w:rFonts w:hint="default" w:ascii="Times New Roman" w:hAnsi="Times New Roman" w:eastAsia="方正仿宋_GBK" w:cs="Times New Roman"/>
          <w:szCs w:val="32"/>
          <w:highlight w:val="none"/>
          <w:u w:val="none"/>
        </w:rPr>
        <w:t>纳入本部门预算汇编范围的独立核算单位共1个。</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二、</w:t>
      </w:r>
      <w:r>
        <w:rPr>
          <w:rFonts w:hint="default" w:ascii="Times New Roman" w:hAnsi="Times New Roman" w:eastAsia="方正楷体简体" w:cs="Times New Roman"/>
          <w:szCs w:val="32"/>
          <w:highlight w:val="none"/>
          <w:u w:val="none"/>
        </w:rPr>
        <w:t>部门职责和机构设置</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（一）部门职责</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主要职能：</w:t>
      </w:r>
    </w:p>
    <w:p>
      <w:pPr>
        <w:spacing w:line="576" w:lineRule="exact"/>
        <w:ind w:firstLine="632" w:firstLineChars="200"/>
        <w:rPr>
          <w:rFonts w:hint="eastAsia" w:ascii="Times New Roman" w:hAnsi="Times New Roman" w:eastAsia="方正仿宋_GBK" w:cs="Times New Roman"/>
          <w:szCs w:val="32"/>
          <w:highlight w:val="none"/>
          <w:u w:val="none"/>
          <w:lang w:eastAsia="zh-CN"/>
        </w:rPr>
      </w:pPr>
      <w:r>
        <w:rPr>
          <w:rFonts w:hint="eastAsia" w:ascii="Times New Roman" w:hAnsi="Times New Roman" w:eastAsia="方正仿宋_GBK" w:cs="Times New Roman"/>
          <w:szCs w:val="32"/>
          <w:highlight w:val="none"/>
          <w:u w:val="none"/>
        </w:rPr>
        <w:t>1、党委、政府主要职责</w:t>
      </w:r>
      <w:r>
        <w:rPr>
          <w:rFonts w:hint="eastAsia" w:ascii="Times New Roman" w:hAnsi="Times New Roman" w:eastAsia="方正仿宋_GBK" w:cs="Times New Roman"/>
          <w:szCs w:val="32"/>
          <w:highlight w:val="none"/>
          <w:u w:val="none"/>
          <w:lang w:eastAsia="zh-CN"/>
        </w:rPr>
        <w:t>。</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宣传和执行党的路线、方针、政策，贯彻执行党中央、上级组织的决议。坚持“一个中心，两个基本点”，领导和制定本地经济和社会发展规划，并组织协调、督促各部门的实施，加强对行政和经济组织的领导，引导辖区内群众走勤劳致富、奔小康道路，促进两个文明建设。</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2）组织党员认真学习马列主义、毛泽东思想、邓小平理论和江泽民同志“三个代表”的重要思想，学习党的基本知识和党的路线、方针、政策;做好思想政治工作，抓好党组织的自身建设，增强党组织的凝聚力、吸引力和战斗力，充分发挥党员的先锋模范作用，深入贯彻落实科学发展观，创先争优，团结、组织党内外的干部和群众，努力完成所担负的任务。</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（3）按照中央提出的农牧区基层组织建设“五个好”的目标要求，加强对党的农牧区基层组织的思想建设和组织建设，以及青年、妇女、民兵等组织的建设。</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（4）加强对党员进行教育和管理，监督党员履行义务，保障党员的权利不受侵犯;认真抓好党风和搞好廉政建设;教育和监督党员干部和其他工作人员严格遵守国法政纪，增强反腐蚀能力。</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（5）培养和审批新党员，收缴党费，做好党员的审查和鉴定工作，表彰党员中的模范事迹。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（6）坚持“两手抓，两手都要硬”的方针，教育党员和群众，坚持社会主义方向，坚决同一切敌对分子和其他破坏社会主义建设的违法犯罪活动作斗争，维护社会安定团结，促进经济持续稳定发展。</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（7）监督辖区内各单位各种执法的专业人员不得执法犯法，不得侵占国家、集体和群众的利益，保证他们依法独立行使他们的权利不受侵犯和打击报复。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（8）执行本级人民代表大会的决议，执行县以上各级政府的决定和命令，执行辖区的经济、教育、科学、文化、卫生、体育事业和财政、民政、公安、司法行政、人口和计划生育等行政工作。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（9）保护社会主义的全民所有制财产和劳动群众集体所有制财产，保护公民私人所有的合法财产，维护社会秩序，保障公民的人身权利，民主权利和其他合法权利。</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（10）贯彻执行农牧区家庭联产承包责任制，完善双层经营体制，因地制宜，合理调整农牧区经济产业结构，引导群众进行科技兴农，指导群众积极发展商品经济，保障农牧区集体、个体发展经济应有的自主权。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（11）保障妇女、儿童的合法权益;保障妇女同男子平等的政治权利、劳动权利、同工同酬和其他权利;履行保障少数民族的权利和尊重少数民族的风俗习惯。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（12）组织、协调有关单位做好辖区内的土地、山林、水利、民事纠纷的调解工作。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（13）办理县委、县政府交办的其他事项。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2、党群综合办公室：主要职责:主要承担党委、人大、群团组织的各项日常工作和党的基层组织建设、纪检监察、组织人事、共青团、工会、妇女、党内统计等工作。协调社会管理综合治理相关工作。内部可设置人大、纪检、组织、宣传、统战、文秘、党内统计等岗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3、政务综合办公室：</w:t>
      </w:r>
      <w:r>
        <w:rPr>
          <w:rFonts w:hint="default" w:ascii="Times New Roman" w:hAnsi="Times New Roman" w:eastAsia="方正仿宋_GBK" w:cs="Times New Roman"/>
          <w:szCs w:val="32"/>
          <w:highlight w:val="none"/>
          <w:u w:val="none"/>
        </w:rPr>
        <w:t xml:space="preserve"> </w:t>
      </w:r>
      <w:r>
        <w:rPr>
          <w:rFonts w:hint="eastAsia" w:ascii="Times New Roman" w:hAnsi="Times New Roman" w:eastAsia="方正仿宋_GBK" w:cs="Times New Roman"/>
          <w:szCs w:val="32"/>
          <w:highlight w:val="none"/>
          <w:u w:val="none"/>
        </w:rPr>
        <w:t>主要职责:主要承担政府的日常工作和经济产业发展规划、社会事业发展规划的制定，负责政务信息、经济社会发展相关统计、政务监督等工作。协调与经济社会发展相关工作。内部可设置经济发展规划、社会事业发展规划、政务信息、政务监督、政务统计、文秘等岗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4、经济发展和社会事务办公室：主要职责:主要承担经济结构调整、基础设施建设、财经、扶贫开发、防防汛抗旱救灾、动植物防疫、安全生产、文化卫生、教育体育、科学技术、优生优育、村镇规划建设、民政事务、残疾人保障、劳动就业和社会保障、环境保护等工作。内部可设置经济产业发展、资源管理、科教文卫、民政、社保服务等岗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5、维护稳定和综合治理办公室：主要职责:主要承担人民武装、社会管理综合治理、信访、矛盾纠纷排查调处、民族宗教、寺庙管理、安置帮教、群防群治组织建设等工作。协调与维护稳定相关工作。内部可设置人民武装、综合治理、民族宗教、信访调解员等岗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6、财政所：主要职责:主要承担乡镇财政预决算的制定和财务日常管理工作。内部可设置预决算、社保、农业、会计、出纳等岗位。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7、江绵乡公安派出所：主要职责:主要承担收集、掌握、报告影响社会政治稳定和治安稳定的情报信息;管理辖区内的实有人口;管理辖区内的重点行业、公共娱乐场所和枪支、弹药、爆炸、剧毒等危险物品;指导、监督辖区内的机关、团体、企业、事业单位的内部治安保卫工作;宣传、发动、组织、指导群众开展安全防范工作;办理辖区内发生的因果关系明显、案情简单、一般无需专业侦查手段的刑事案件，并协助侦查部门侦破其他案件;办理治安案件，调解治安纠纷;参与火灾、交通、爆炸、中毒等治安灾害事故的预防工作;接受群众报警、求助，为群众提供服务。</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8、江绵乡人民法庭：</w:t>
      </w:r>
      <w:r>
        <w:rPr>
          <w:rFonts w:hint="default" w:ascii="Times New Roman" w:hAnsi="Times New Roman" w:eastAsia="方正仿宋_GBK" w:cs="Times New Roman"/>
          <w:szCs w:val="32"/>
          <w:highlight w:val="none"/>
          <w:u w:val="none"/>
        </w:rPr>
        <w:t xml:space="preserve"> </w:t>
      </w:r>
      <w:r>
        <w:rPr>
          <w:rFonts w:hint="eastAsia" w:ascii="Times New Roman" w:hAnsi="Times New Roman" w:eastAsia="方正仿宋_GBK" w:cs="Times New Roman"/>
          <w:szCs w:val="32"/>
          <w:highlight w:val="none"/>
          <w:u w:val="none"/>
        </w:rPr>
        <w:t>主要职责:接受辖区党委领导和人大监督，并向其汇报工作;积极参与辖区社会治安综合治理和其他相关工作;负责辖区内简易民事纠纷案件的立案工作，并依法审判本辖区第一审民事案件和刑事自诉案件;办理本庭审理案件或本院统一指定安排的案件执行事项;指导人民调解委员会工作;接待并处理群众来信来访;办理县人民法院交办的其他事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9、江绵乡司法所：主要职责:指导管理人民调解工作，参与调解疑难、复杂民间纠纷;承担社区矫正日常工作，组织开展对非监禁服刑人员的管理、教育和帮助;指导管理基层法律服务工作;协调有关部门和单位开展对刑释解教人员的安置帮教工作;组织开展法制宣传教育工作;组织开展基层依法治理工作，为乡镇人民政府依法行政、依法管理提供法律意见和建议;协助基层政府处理社会矛盾纠纷;参与社会治安综合治理工作;完成上级司法行政机关和乡镇人民政府交办的维护社会稳定的有关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10、卫生院(优生优育服务站)：</w:t>
      </w:r>
      <w:r>
        <w:rPr>
          <w:rFonts w:hint="default" w:ascii="Times New Roman" w:hAnsi="Times New Roman" w:eastAsia="方正仿宋_GBK" w:cs="Times New Roman"/>
          <w:szCs w:val="32"/>
          <w:highlight w:val="none"/>
          <w:u w:val="none"/>
        </w:rPr>
        <w:t xml:space="preserve"> </w:t>
      </w:r>
      <w:r>
        <w:rPr>
          <w:rFonts w:hint="eastAsia" w:ascii="Times New Roman" w:hAnsi="Times New Roman" w:eastAsia="方正仿宋_GBK" w:cs="Times New Roman"/>
          <w:szCs w:val="32"/>
          <w:highlight w:val="none"/>
          <w:u w:val="none"/>
        </w:rPr>
        <w:t>主要职责:主要承担乡镇医疗、保健、疾病预防和优生优育技术服务等工作。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11、农牧综合服务中心(畜牧兽医服务中心)：</w:t>
      </w:r>
      <w:r>
        <w:rPr>
          <w:rFonts w:hint="default" w:ascii="Times New Roman" w:hAnsi="Times New Roman" w:eastAsia="方正仿宋_GBK" w:cs="Times New Roman"/>
          <w:szCs w:val="32"/>
          <w:highlight w:val="none"/>
          <w:u w:val="none"/>
        </w:rPr>
        <w:t xml:space="preserve"> </w:t>
      </w:r>
      <w:r>
        <w:rPr>
          <w:rFonts w:hint="eastAsia" w:ascii="Times New Roman" w:hAnsi="Times New Roman" w:eastAsia="方正仿宋_GBK" w:cs="Times New Roman"/>
          <w:szCs w:val="32"/>
          <w:highlight w:val="none"/>
          <w:u w:val="none"/>
        </w:rPr>
        <w:t>主要职责:主要承担乡镇农牧技术推广、农机、种子推广、科技培训、蔬菜种植、草原管理、畜牧兽医、兽防、野生动物保护、渔业、林业和水利等工作。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12、文化服务中心：主要职责:主要承担远程教育站点的维护使用和乡镇文化、广播、电影、电视、图书、群众体育等工作。</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13、后勤服务中心：</w:t>
      </w:r>
      <w:r>
        <w:rPr>
          <w:rFonts w:hint="default" w:ascii="Times New Roman" w:hAnsi="Times New Roman" w:eastAsia="方正仿宋_GBK" w:cs="Times New Roman"/>
          <w:szCs w:val="32"/>
          <w:highlight w:val="none"/>
          <w:u w:val="none"/>
        </w:rPr>
        <w:t xml:space="preserve"> </w:t>
      </w:r>
      <w:r>
        <w:rPr>
          <w:rFonts w:hint="eastAsia" w:ascii="Times New Roman" w:hAnsi="Times New Roman" w:eastAsia="方正仿宋_GBK" w:cs="Times New Roman"/>
          <w:szCs w:val="32"/>
          <w:highlight w:val="none"/>
          <w:u w:val="none"/>
        </w:rPr>
        <w:t>主要职责:主要承担乡镇机关后勤保障工作。</w:t>
      </w:r>
    </w:p>
    <w:p>
      <w:pPr>
        <w:spacing w:line="576" w:lineRule="exact"/>
        <w:ind w:firstLine="632" w:firstLineChars="200"/>
        <w:rPr>
          <w:rFonts w:hint="default" w:ascii="Times New Roman" w:hAnsi="Times New Roman" w:eastAsia="方正仿宋_GBK" w:cs="Times New Roman"/>
          <w:b/>
          <w:bCs/>
          <w:szCs w:val="32"/>
          <w:highlight w:val="none"/>
          <w:u w:val="none"/>
        </w:rPr>
      </w:pPr>
      <w:r>
        <w:rPr>
          <w:rFonts w:hint="default" w:ascii="Times New Roman" w:hAnsi="Times New Roman" w:eastAsia="方正仿宋_GBK" w:cs="Times New Roman"/>
          <w:b/>
          <w:bCs/>
          <w:szCs w:val="32"/>
          <w:highlight w:val="none"/>
          <w:u w:val="none"/>
        </w:rPr>
        <w:t>（二）机构设置</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江绵乡机关行政编制 26 名，部门领导职数15名，正科3名，副科12名。</w:t>
      </w:r>
    </w:p>
    <w:p>
      <w:pPr>
        <w:spacing w:line="576" w:lineRule="exact"/>
        <w:ind w:firstLine="632" w:firstLineChars="200"/>
        <w:rPr>
          <w:rFonts w:hint="default" w:ascii="Times New Roman" w:hAnsi="Times New Roman" w:eastAsia="方正仿宋_GBK" w:cs="Times New Roman"/>
          <w:szCs w:val="32"/>
          <w:highlight w:val="none"/>
          <w:u w:val="none"/>
        </w:rPr>
      </w:pPr>
      <w:r>
        <w:rPr>
          <w:rFonts w:hint="eastAsia" w:ascii="Times New Roman" w:hAnsi="Times New Roman" w:eastAsia="方正仿宋_GBK" w:cs="Times New Roman"/>
          <w:szCs w:val="32"/>
          <w:highlight w:val="none"/>
          <w:u w:val="none"/>
        </w:rPr>
        <w:t xml:space="preserve">    在在职实有人数77名，其中：正科10名（正科级），副科长13名，四级主任科员3名，科员2名，事业编制49人、下设党政综合办公室、党建工作办公室、经济发展办公室、民生服务办公室、平安法治办公室、便民服务中心、农牧综合服务中心、文化综合服务中心8个科室。</w:t>
      </w:r>
    </w:p>
    <w:p>
      <w:pPr>
        <w:spacing w:line="576" w:lineRule="exact"/>
        <w:rPr>
          <w:rFonts w:hint="default" w:ascii="Times New Roman" w:hAnsi="Times New Roman" w:eastAsia="方正仿宋_GBK" w:cs="Times New Roman"/>
          <w:szCs w:val="32"/>
          <w:highlight w:val="none"/>
          <w:u w:val="none"/>
          <w:lang w:val="en-US" w:eastAsia="zh-CN"/>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bookmarkStart w:id="0" w:name="_GoBack"/>
      <w:bookmarkEnd w:id="0"/>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第二部分 巴青县江绵乡人民政府</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年度部门决算表</w:t>
      </w: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（见附表1）</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一、收入支出决算总表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二、收入决算表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三、支出决算表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四、财政拨款收入支出决算总表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五、一般公共预算财政拨款支出决算表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六、一般公共预算财政拨款基本支出决算明细表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七、政府性基金预算财政拨款收入支出决算表</w:t>
      </w:r>
    </w:p>
    <w:p>
      <w:pPr>
        <w:spacing w:line="576" w:lineRule="exact"/>
        <w:ind w:firstLine="632" w:firstLineChars="200"/>
        <w:rPr>
          <w:rFonts w:hint="default" w:ascii="Times New Roman" w:hAnsi="Times New Roman" w:eastAsia="方正楷体简体" w:cs="Times New Roman"/>
          <w:szCs w:val="32"/>
          <w:highlight w:val="none"/>
          <w:u w:val="none"/>
          <w:lang w:val="en-US" w:eastAsia="zh-CN"/>
        </w:rPr>
      </w:pPr>
      <w:r>
        <w:rPr>
          <w:rFonts w:hint="default" w:ascii="Times New Roman" w:hAnsi="Times New Roman" w:eastAsia="方正楷体简体" w:cs="Times New Roman"/>
          <w:szCs w:val="32"/>
          <w:highlight w:val="none"/>
          <w:u w:val="none"/>
          <w:lang w:val="en-US" w:eastAsia="zh-CN"/>
        </w:rPr>
        <w:t>八、国有资本经营预算财政拨款支出决算表</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、财政拨款“三公”经费支出决算表</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黑体" w:cs="Times New Roman"/>
          <w:b w:val="0"/>
          <w:bCs w:val="0"/>
          <w:szCs w:val="32"/>
          <w:highlight w:val="none"/>
          <w:u w:val="none"/>
        </w:rPr>
      </w:pPr>
      <w:r>
        <w:rPr>
          <w:rFonts w:hint="default" w:ascii="Times New Roman" w:hAnsi="Times New Roman" w:eastAsia="黑体" w:cs="Times New Roman"/>
          <w:b w:val="0"/>
          <w:bCs w:val="0"/>
          <w:szCs w:val="32"/>
          <w:highlight w:val="none"/>
          <w:u w:val="none"/>
        </w:rPr>
        <w:t>第三部分  巴青县江绵乡人民政府</w:t>
      </w:r>
      <w:r>
        <w:rPr>
          <w:rFonts w:hint="default" w:ascii="Times New Roman" w:hAnsi="Times New Roman" w:eastAsia="黑体" w:cs="Times New Roman"/>
          <w:b w:val="0"/>
          <w:bCs w:val="0"/>
          <w:szCs w:val="32"/>
          <w:highlight w:val="none"/>
          <w:u w:val="none"/>
          <w:lang w:eastAsia="zh-CN"/>
        </w:rPr>
        <w:t>202</w:t>
      </w:r>
      <w:r>
        <w:rPr>
          <w:rFonts w:hint="default" w:ascii="Times New Roman" w:hAnsi="Times New Roman" w:eastAsia="黑体" w:cs="Times New Roman"/>
          <w:b w:val="0"/>
          <w:bCs w:val="0"/>
          <w:szCs w:val="32"/>
          <w:highlight w:val="none"/>
          <w:u w:val="none"/>
          <w:lang w:val="en-US" w:eastAsia="zh-CN"/>
        </w:rPr>
        <w:t>4</w:t>
      </w:r>
      <w:r>
        <w:rPr>
          <w:rFonts w:hint="default" w:ascii="Times New Roman" w:hAnsi="Times New Roman" w:eastAsia="黑体" w:cs="Times New Roman"/>
          <w:b w:val="0"/>
          <w:bCs w:val="0"/>
          <w:szCs w:val="32"/>
          <w:highlight w:val="none"/>
          <w:u w:val="none"/>
        </w:rPr>
        <w:t>年度部门决算数据说明</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一、收入支出决算总体情况说明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年年初结转结余资金</w:t>
      </w:r>
      <w:r>
        <w:rPr>
          <w:rFonts w:hint="eastAsia" w:ascii="Times New Roman" w:hAnsi="Times New Roman" w:eastAsia="方正仿宋_GBK" w:cs="Times New Roman"/>
          <w:szCs w:val="32"/>
          <w:highlight w:val="none"/>
          <w:u w:val="none"/>
          <w:lang w:val="en-US" w:eastAsia="zh-CN"/>
        </w:rPr>
        <w:t>9.74</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，一般公共预算财政拨款收入</w:t>
      </w:r>
      <w:r>
        <w:rPr>
          <w:rFonts w:hint="eastAsia" w:ascii="Times New Roman" w:hAnsi="Times New Roman" w:eastAsia="方正仿宋_GBK" w:cs="Times New Roman"/>
          <w:szCs w:val="32"/>
          <w:highlight w:val="none"/>
          <w:u w:val="none"/>
          <w:lang w:val="en-US" w:eastAsia="zh-CN"/>
        </w:rPr>
        <w:t>6,373.93</w:t>
      </w:r>
      <w:r>
        <w:rPr>
          <w:rFonts w:hint="default" w:ascii="Times New Roman" w:hAnsi="Times New Roman" w:eastAsia="方正仿宋_GBK" w:cs="Times New Roman"/>
          <w:szCs w:val="32"/>
          <w:highlight w:val="none"/>
          <w:u w:val="none"/>
        </w:rPr>
        <w:t>万元，</w:t>
      </w:r>
      <w:r>
        <w:rPr>
          <w:rFonts w:hint="eastAsia" w:ascii="Times New Roman" w:hAnsi="Times New Roman" w:eastAsia="方正仿宋_GBK" w:cs="Times New Roman"/>
          <w:szCs w:val="32"/>
          <w:highlight w:val="none"/>
          <w:u w:val="none"/>
          <w:lang w:val="en-US" w:eastAsia="zh-CN"/>
        </w:rPr>
        <w:t>政府性基金预算财政拨款收入285万元，</w:t>
      </w:r>
      <w:r>
        <w:rPr>
          <w:rFonts w:hint="default" w:ascii="Times New Roman" w:hAnsi="Times New Roman" w:eastAsia="方正仿宋_GBK" w:cs="Times New Roman"/>
          <w:szCs w:val="32"/>
          <w:highlight w:val="none"/>
          <w:u w:val="none"/>
        </w:rPr>
        <w:t>本年支出合计</w:t>
      </w:r>
      <w:r>
        <w:rPr>
          <w:rFonts w:hint="eastAsia" w:ascii="Times New Roman" w:hAnsi="Times New Roman" w:eastAsia="方正仿宋_GBK" w:cs="Times New Roman"/>
          <w:szCs w:val="32"/>
          <w:highlight w:val="none"/>
          <w:u w:val="none"/>
          <w:lang w:val="en-US" w:eastAsia="zh-CN"/>
        </w:rPr>
        <w:t>6,668.67</w:t>
      </w:r>
      <w:r>
        <w:rPr>
          <w:rFonts w:hint="default" w:ascii="Times New Roman" w:hAnsi="Times New Roman" w:eastAsia="方正仿宋_GBK" w:cs="Times New Roman"/>
          <w:szCs w:val="32"/>
          <w:highlight w:val="none"/>
          <w:u w:val="none"/>
        </w:rPr>
        <w:t>万元，年末财政拨款结转和结余资金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lang w:val="en-US" w:eastAsia="zh-CN"/>
        </w:rPr>
        <w:t>万元</w:t>
      </w:r>
      <w:r>
        <w:rPr>
          <w:rFonts w:hint="default" w:ascii="Times New Roman" w:hAnsi="Times New Roman" w:eastAsia="方正仿宋_GBK" w:cs="Times New Roman"/>
          <w:szCs w:val="32"/>
          <w:highlight w:val="none"/>
          <w:u w:val="none"/>
        </w:rPr>
        <w:t>。</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二、收入决算情况说明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年收入合计</w:t>
      </w:r>
      <w:r>
        <w:rPr>
          <w:rFonts w:hint="eastAsia" w:ascii="Times New Roman" w:hAnsi="Times New Roman" w:eastAsia="方正仿宋_GBK" w:cs="Times New Roman"/>
          <w:szCs w:val="32"/>
          <w:highlight w:val="none"/>
          <w:u w:val="none"/>
          <w:lang w:val="en-US" w:eastAsia="zh-CN"/>
        </w:rPr>
        <w:t>6,658.93</w:t>
      </w:r>
      <w:r>
        <w:rPr>
          <w:rFonts w:hint="default" w:ascii="Times New Roman" w:hAnsi="Times New Roman" w:eastAsia="方正仿宋_GBK" w:cs="Times New Roman"/>
          <w:szCs w:val="32"/>
          <w:highlight w:val="none"/>
          <w:u w:val="none"/>
        </w:rPr>
        <w:t>万元。其中，财政拨款收入</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6,658.93</w:t>
      </w:r>
      <w:r>
        <w:rPr>
          <w:rFonts w:hint="default" w:ascii="Times New Roman" w:hAnsi="Times New Roman" w:eastAsia="方正仿宋_GBK" w:cs="Times New Roman"/>
          <w:szCs w:val="32"/>
          <w:highlight w:val="none"/>
          <w:u w:val="none"/>
        </w:rPr>
        <w:t>万元，上级补助收入0万元，事业收入0万元，经营收入0万元，附属单位上缴收入0万元，其他收入0万元。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三、支出决算情况说明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年支出合计</w:t>
      </w:r>
      <w:r>
        <w:rPr>
          <w:rFonts w:hint="eastAsia" w:ascii="Times New Roman" w:hAnsi="Times New Roman" w:eastAsia="方正仿宋_GBK" w:cs="Times New Roman"/>
          <w:szCs w:val="32"/>
          <w:highlight w:val="none"/>
          <w:u w:val="none"/>
          <w:lang w:val="en-US" w:eastAsia="zh-CN"/>
        </w:rPr>
        <w:t>6,668.67</w:t>
      </w:r>
      <w:r>
        <w:rPr>
          <w:rFonts w:hint="default" w:ascii="Times New Roman" w:hAnsi="Times New Roman" w:eastAsia="方正仿宋_GBK" w:cs="Times New Roman"/>
          <w:szCs w:val="32"/>
          <w:highlight w:val="none"/>
          <w:u w:val="none"/>
        </w:rPr>
        <w:t>万元。其中，基本支出</w:t>
      </w:r>
      <w:r>
        <w:rPr>
          <w:rFonts w:hint="eastAsia" w:ascii="Times New Roman" w:hAnsi="Times New Roman" w:eastAsia="方正仿宋_GBK" w:cs="Times New Roman"/>
          <w:szCs w:val="32"/>
          <w:highlight w:val="none"/>
          <w:u w:val="none"/>
          <w:lang w:val="en-US" w:eastAsia="zh-CN"/>
        </w:rPr>
        <w:t>3,344.65</w:t>
      </w:r>
      <w:r>
        <w:rPr>
          <w:rFonts w:hint="default" w:ascii="Times New Roman" w:hAnsi="Times New Roman" w:eastAsia="方正仿宋_GBK" w:cs="Times New Roman"/>
          <w:szCs w:val="32"/>
          <w:highlight w:val="none"/>
          <w:u w:val="none"/>
        </w:rPr>
        <w:t>万元，项目支出</w:t>
      </w:r>
      <w:r>
        <w:rPr>
          <w:rFonts w:hint="eastAsia" w:ascii="Times New Roman" w:hAnsi="Times New Roman" w:eastAsia="方正仿宋_GBK" w:cs="Times New Roman"/>
          <w:szCs w:val="32"/>
          <w:highlight w:val="none"/>
          <w:u w:val="none"/>
          <w:lang w:val="en-US" w:eastAsia="zh-CN"/>
        </w:rPr>
        <w:t>3,324.03</w:t>
      </w:r>
      <w:r>
        <w:rPr>
          <w:rFonts w:hint="default" w:ascii="Times New Roman" w:hAnsi="Times New Roman" w:eastAsia="方正仿宋_GBK" w:cs="Times New Roman"/>
          <w:szCs w:val="32"/>
          <w:highlight w:val="none"/>
          <w:u w:val="none"/>
        </w:rPr>
        <w:t>万元，上缴上级支出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万元，经营支出0万元，对附属单位补助支出0万元。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四、财政拨款收入支出决算情况说明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年年初财政拨款结转和结余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9.74</w:t>
      </w:r>
      <w:r>
        <w:rPr>
          <w:rFonts w:hint="default" w:ascii="Times New Roman" w:hAnsi="Times New Roman" w:eastAsia="方正仿宋_GBK" w:cs="Times New Roman"/>
          <w:szCs w:val="32"/>
          <w:highlight w:val="none"/>
          <w:u w:val="none"/>
        </w:rPr>
        <w:t>万元，本年财政拨款收入</w:t>
      </w:r>
      <w:r>
        <w:rPr>
          <w:rFonts w:hint="eastAsia" w:ascii="Times New Roman" w:hAnsi="Times New Roman" w:eastAsia="方正仿宋_GBK" w:cs="Times New Roman"/>
          <w:szCs w:val="32"/>
          <w:highlight w:val="none"/>
          <w:u w:val="none"/>
          <w:lang w:val="en-US" w:eastAsia="zh-CN"/>
        </w:rPr>
        <w:t>6,373.93</w:t>
      </w:r>
      <w:r>
        <w:rPr>
          <w:rFonts w:hint="default" w:ascii="Times New Roman" w:hAnsi="Times New Roman" w:eastAsia="方正仿宋_GBK" w:cs="Times New Roman"/>
          <w:szCs w:val="32"/>
          <w:highlight w:val="none"/>
          <w:u w:val="none"/>
        </w:rPr>
        <w:t>万元。其中，一般公共预算财政拨款收入</w:t>
      </w:r>
      <w:r>
        <w:rPr>
          <w:rFonts w:hint="eastAsia" w:ascii="Times New Roman" w:hAnsi="Times New Roman" w:eastAsia="方正仿宋_GBK" w:cs="Times New Roman"/>
          <w:szCs w:val="32"/>
          <w:highlight w:val="none"/>
          <w:u w:val="none"/>
          <w:lang w:val="en-US" w:eastAsia="zh-CN"/>
        </w:rPr>
        <w:t>6,373.93</w:t>
      </w:r>
      <w:r>
        <w:rPr>
          <w:rFonts w:hint="default" w:ascii="Times New Roman" w:hAnsi="Times New Roman" w:eastAsia="方正仿宋_GBK" w:cs="Times New Roman"/>
          <w:szCs w:val="32"/>
          <w:highlight w:val="none"/>
          <w:u w:val="none"/>
        </w:rPr>
        <w:t>万元，政府性基金预算财政拨款收入</w:t>
      </w:r>
      <w:r>
        <w:rPr>
          <w:rFonts w:hint="eastAsia" w:ascii="Times New Roman" w:hAnsi="Times New Roman" w:eastAsia="方正仿宋_GBK" w:cs="Times New Roman"/>
          <w:szCs w:val="32"/>
          <w:highlight w:val="none"/>
          <w:u w:val="none"/>
          <w:lang w:val="en-US" w:eastAsia="zh-CN"/>
        </w:rPr>
        <w:t>285</w:t>
      </w:r>
      <w:r>
        <w:rPr>
          <w:rFonts w:hint="default" w:ascii="Times New Roman" w:hAnsi="Times New Roman" w:eastAsia="方正仿宋_GBK" w:cs="Times New Roman"/>
          <w:szCs w:val="32"/>
          <w:highlight w:val="none"/>
          <w:u w:val="none"/>
        </w:rPr>
        <w:t>万元，国有资本经营财政拨款收入</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万元。本年财政拨款收入合计</w:t>
      </w:r>
      <w:r>
        <w:rPr>
          <w:rFonts w:hint="eastAsia" w:ascii="Times New Roman" w:hAnsi="Times New Roman" w:eastAsia="方正仿宋_GBK" w:cs="Times New Roman"/>
          <w:szCs w:val="32"/>
          <w:highlight w:val="none"/>
          <w:u w:val="none"/>
          <w:lang w:val="en-US" w:eastAsia="zh-CN"/>
        </w:rPr>
        <w:t>6,668.67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年财政拨款支出</w:t>
      </w:r>
      <w:r>
        <w:rPr>
          <w:rFonts w:hint="eastAsia" w:ascii="Times New Roman" w:hAnsi="Times New Roman" w:eastAsia="方正仿宋_GBK" w:cs="Times New Roman"/>
          <w:szCs w:val="32"/>
          <w:highlight w:val="none"/>
          <w:u w:val="none"/>
          <w:lang w:val="en-US" w:eastAsia="zh-CN"/>
        </w:rPr>
        <w:t>6,668.67</w:t>
      </w:r>
      <w:r>
        <w:rPr>
          <w:rFonts w:hint="default" w:ascii="Times New Roman" w:hAnsi="Times New Roman" w:eastAsia="方正仿宋_GBK" w:cs="Times New Roman"/>
          <w:szCs w:val="32"/>
          <w:highlight w:val="none"/>
          <w:u w:val="none"/>
        </w:rPr>
        <w:t>万元。其中，一般公共预算财政拨款支出</w:t>
      </w:r>
      <w:r>
        <w:rPr>
          <w:rFonts w:hint="eastAsia" w:ascii="Times New Roman" w:hAnsi="Times New Roman" w:eastAsia="方正仿宋_GBK" w:cs="Times New Roman"/>
          <w:szCs w:val="32"/>
          <w:highlight w:val="none"/>
          <w:u w:val="none"/>
          <w:lang w:val="en-US" w:eastAsia="zh-CN"/>
        </w:rPr>
        <w:t>6,383.67</w:t>
      </w:r>
      <w:r>
        <w:rPr>
          <w:rFonts w:hint="default" w:ascii="Times New Roman" w:hAnsi="Times New Roman" w:eastAsia="方正仿宋_GBK" w:cs="Times New Roman"/>
          <w:szCs w:val="32"/>
          <w:highlight w:val="none"/>
          <w:u w:val="none"/>
        </w:rPr>
        <w:t>万元，政府性基金预算财政拨款支出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285</w:t>
      </w:r>
      <w:r>
        <w:rPr>
          <w:rFonts w:hint="default" w:ascii="Times New Roman" w:hAnsi="Times New Roman" w:eastAsia="方正仿宋_GBK" w:cs="Times New Roman"/>
          <w:szCs w:val="32"/>
          <w:highlight w:val="none"/>
          <w:u w:val="none"/>
        </w:rPr>
        <w:t>万元，国有资本经营财政拨款支出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万元。本年年末财政拨款结转和结余</w:t>
      </w:r>
      <w:r>
        <w:rPr>
          <w:rFonts w:hint="default" w:ascii="Times New Roman" w:hAnsi="Times New Roman" w:eastAsia="方正仿宋_GBK" w:cs="Times New Roman"/>
          <w:szCs w:val="32"/>
          <w:highlight w:val="none"/>
          <w:u w:val="none"/>
          <w:lang w:val="en-US" w:eastAsia="zh-CN"/>
        </w:rPr>
        <w:t>资金</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万元。本年财政拨款支出合计</w:t>
      </w:r>
      <w:r>
        <w:rPr>
          <w:rFonts w:hint="eastAsia" w:ascii="Times New Roman" w:hAnsi="Times New Roman" w:eastAsia="方正仿宋_GBK" w:cs="Times New Roman"/>
          <w:szCs w:val="32"/>
          <w:highlight w:val="none"/>
          <w:u w:val="none"/>
          <w:lang w:val="en-US" w:eastAsia="zh-CN"/>
        </w:rPr>
        <w:t>6,668.67</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五、一般公共预算财政拨款“三公”经费支出决算情况说明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年一般公共预算财政拨款“三公”经费支出</w:t>
      </w:r>
      <w:r>
        <w:rPr>
          <w:rFonts w:hint="default" w:ascii="Times New Roman" w:hAnsi="Times New Roman" w:eastAsia="方正仿宋_GBK" w:cs="Times New Roman"/>
          <w:szCs w:val="32"/>
          <w:highlight w:val="none"/>
          <w:u w:val="none"/>
          <w:lang w:val="en-US" w:eastAsia="zh-CN"/>
        </w:rPr>
        <w:t xml:space="preserve">    </w:t>
      </w:r>
      <w:r>
        <w:rPr>
          <w:rFonts w:hint="eastAsia" w:ascii="Times New Roman" w:hAnsi="Times New Roman" w:eastAsia="方正仿宋_GBK" w:cs="Times New Roman"/>
          <w:szCs w:val="32"/>
          <w:highlight w:val="none"/>
          <w:u w:val="none"/>
          <w:lang w:val="en-US" w:eastAsia="zh-CN"/>
        </w:rPr>
        <w:t>17.82</w:t>
      </w:r>
      <w:r>
        <w:rPr>
          <w:rFonts w:hint="default" w:ascii="Times New Roman" w:hAnsi="Times New Roman" w:eastAsia="方正仿宋_GBK" w:cs="Times New Roman"/>
          <w:szCs w:val="32"/>
          <w:highlight w:val="none"/>
          <w:u w:val="none"/>
        </w:rPr>
        <w:t>万元。</w:t>
      </w:r>
      <w:r>
        <w:rPr>
          <w:rFonts w:hint="eastAsia" w:ascii="Times New Roman" w:hAnsi="Times New Roman" w:eastAsia="方正仿宋_GBK" w:cs="Times New Roman"/>
          <w:szCs w:val="32"/>
          <w:highlight w:val="none"/>
          <w:u w:val="none"/>
          <w:lang w:val="en-US" w:eastAsia="zh-CN"/>
        </w:rPr>
        <w:t>其中，公务用车购置及运行维护费17.82万元。</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六、</w:t>
      </w:r>
      <w:r>
        <w:rPr>
          <w:rFonts w:hint="default" w:ascii="Times New Roman" w:hAnsi="Times New Roman" w:eastAsia="方正楷体简体" w:cs="Times New Roman"/>
          <w:szCs w:val="32"/>
          <w:highlight w:val="none"/>
          <w:u w:val="none"/>
          <w:lang w:eastAsia="zh-CN"/>
        </w:rPr>
        <w:t>202</w:t>
      </w:r>
      <w:r>
        <w:rPr>
          <w:rFonts w:hint="default" w:ascii="Times New Roman" w:hAnsi="Times New Roman" w:eastAsia="方正楷体简体" w:cs="Times New Roman"/>
          <w:szCs w:val="32"/>
          <w:highlight w:val="none"/>
          <w:u w:val="none"/>
          <w:lang w:val="en-US" w:eastAsia="zh-CN"/>
        </w:rPr>
        <w:t>4</w:t>
      </w:r>
      <w:r>
        <w:rPr>
          <w:rFonts w:hint="default" w:ascii="Times New Roman" w:hAnsi="Times New Roman" w:eastAsia="方正楷体简体" w:cs="Times New Roman"/>
          <w:szCs w:val="32"/>
          <w:highlight w:val="none"/>
          <w:u w:val="none"/>
        </w:rPr>
        <w:t>年度机关运行情况说明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年人员经费支出</w:t>
      </w:r>
      <w:r>
        <w:rPr>
          <w:rFonts w:hint="eastAsia" w:ascii="Times New Roman" w:hAnsi="Times New Roman" w:eastAsia="方正仿宋_GBK" w:cs="Times New Roman"/>
          <w:szCs w:val="32"/>
          <w:highlight w:val="none"/>
          <w:u w:val="none"/>
          <w:lang w:val="en-US" w:eastAsia="zh-CN"/>
        </w:rPr>
        <w:t>3,190.74</w:t>
      </w:r>
      <w:r>
        <w:rPr>
          <w:rFonts w:hint="default" w:ascii="Times New Roman" w:hAnsi="Times New Roman" w:eastAsia="方正仿宋_GBK" w:cs="Times New Roman"/>
          <w:szCs w:val="32"/>
          <w:highlight w:val="none"/>
          <w:u w:val="none"/>
        </w:rPr>
        <w:t>万元。其中，工资福利支出</w:t>
      </w:r>
      <w:r>
        <w:rPr>
          <w:rFonts w:hint="eastAsia" w:ascii="Times New Roman" w:hAnsi="Times New Roman" w:eastAsia="方正仿宋_GBK" w:cs="Times New Roman"/>
          <w:szCs w:val="32"/>
          <w:highlight w:val="none"/>
          <w:u w:val="none"/>
          <w:lang w:val="en-US" w:eastAsia="zh-CN"/>
        </w:rPr>
        <w:t>2,749.35</w:t>
      </w:r>
      <w:r>
        <w:rPr>
          <w:rFonts w:hint="default" w:ascii="Times New Roman" w:hAnsi="Times New Roman" w:eastAsia="方正仿宋_GBK" w:cs="Times New Roman"/>
          <w:szCs w:val="32"/>
          <w:highlight w:val="none"/>
          <w:u w:val="none"/>
        </w:rPr>
        <w:t>万元，对个人和家庭的补助</w:t>
      </w:r>
      <w:r>
        <w:rPr>
          <w:rFonts w:hint="eastAsia" w:ascii="Times New Roman" w:hAnsi="Times New Roman" w:eastAsia="方正仿宋_GBK" w:cs="Times New Roman"/>
          <w:szCs w:val="32"/>
          <w:highlight w:val="none"/>
          <w:u w:val="none"/>
          <w:lang w:val="en-US" w:eastAsia="zh-CN"/>
        </w:rPr>
        <w:t>441.39</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val="en-US" w:eastAsia="zh-CN"/>
        </w:rPr>
        <w:t>2024</w:t>
      </w:r>
      <w:r>
        <w:rPr>
          <w:rFonts w:hint="default" w:ascii="Times New Roman" w:hAnsi="Times New Roman" w:eastAsia="方正仿宋_GBK" w:cs="Times New Roman"/>
          <w:szCs w:val="32"/>
          <w:highlight w:val="none"/>
          <w:u w:val="none"/>
        </w:rPr>
        <w:t>年公用经费支出</w:t>
      </w:r>
      <w:r>
        <w:rPr>
          <w:rFonts w:hint="eastAsia" w:ascii="Times New Roman" w:hAnsi="Times New Roman" w:eastAsia="方正仿宋_GBK" w:cs="Times New Roman"/>
          <w:szCs w:val="32"/>
          <w:highlight w:val="none"/>
          <w:u w:val="none"/>
          <w:lang w:val="en-US" w:eastAsia="zh-CN"/>
        </w:rPr>
        <w:t>153.9</w:t>
      </w:r>
      <w:r>
        <w:rPr>
          <w:rFonts w:hint="default" w:ascii="Times New Roman" w:hAnsi="Times New Roman" w:eastAsia="方正仿宋_GBK" w:cs="Times New Roman"/>
          <w:szCs w:val="32"/>
          <w:highlight w:val="none"/>
          <w:u w:val="none"/>
        </w:rPr>
        <w:t>万元。其中，商品和服务支出</w:t>
      </w:r>
      <w:r>
        <w:rPr>
          <w:rFonts w:hint="eastAsia" w:ascii="Times New Roman" w:hAnsi="Times New Roman" w:eastAsia="方正仿宋_GBK" w:cs="Times New Roman"/>
          <w:szCs w:val="32"/>
          <w:highlight w:val="none"/>
          <w:u w:val="none"/>
          <w:lang w:val="en-US" w:eastAsia="zh-CN"/>
        </w:rPr>
        <w:t>153.9</w:t>
      </w:r>
      <w:r>
        <w:rPr>
          <w:rFonts w:hint="default" w:ascii="Times New Roman" w:hAnsi="Times New Roman" w:eastAsia="方正仿宋_GBK" w:cs="Times New Roman"/>
          <w:szCs w:val="32"/>
          <w:highlight w:val="none"/>
          <w:u w:val="none"/>
        </w:rPr>
        <w:t>万元，债务利息及费用支出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万元，资本性支出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万元，其他支出</w:t>
      </w:r>
      <w:r>
        <w:rPr>
          <w:rFonts w:hint="eastAsia" w:ascii="Times New Roman" w:hAnsi="Times New Roman" w:eastAsia="方正仿宋_GBK" w:cs="Times New Roman"/>
          <w:szCs w:val="32"/>
          <w:highlight w:val="none"/>
          <w:u w:val="none"/>
          <w:lang w:val="en-US" w:eastAsia="zh-CN"/>
        </w:rPr>
        <w:t>0</w:t>
      </w:r>
      <w:r>
        <w:rPr>
          <w:rFonts w:hint="default" w:ascii="Times New Roman" w:hAnsi="Times New Roman" w:eastAsia="方正仿宋_GBK" w:cs="Times New Roman"/>
          <w:szCs w:val="32"/>
          <w:highlight w:val="none"/>
          <w:u w:val="none"/>
        </w:rPr>
        <w:t>万元。</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七、政府采购情况说明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年无政府采购项目。</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八、国有资产占有使用情况说明</w:t>
      </w:r>
    </w:p>
    <w:p>
      <w:pPr>
        <w:spacing w:line="576" w:lineRule="exact"/>
        <w:ind w:firstLine="632" w:firstLineChars="200"/>
        <w:rPr>
          <w:rFonts w:hint="default" w:ascii="Times New Roman" w:hAnsi="Times New Roman" w:eastAsia="方正仿宋_GBK" w:cs="Times New Roman"/>
          <w:szCs w:val="32"/>
          <w:highlight w:val="none"/>
          <w:u w:val="none"/>
          <w:lang w:val="en-US" w:eastAsia="zh-CN"/>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w:t>
      </w:r>
      <w:r>
        <w:rPr>
          <w:rFonts w:hint="default" w:ascii="Times New Roman" w:hAnsi="Times New Roman" w:eastAsia="方正仿宋_GBK" w:cs="Times New Roman"/>
          <w:szCs w:val="32"/>
          <w:highlight w:val="none"/>
          <w:u w:val="none"/>
          <w:lang w:val="en-US" w:eastAsia="zh-CN"/>
        </w:rPr>
        <w:t>有</w:t>
      </w:r>
      <w:r>
        <w:rPr>
          <w:rFonts w:hint="default" w:ascii="Times New Roman" w:hAnsi="Times New Roman" w:eastAsia="方正仿宋_GBK" w:cs="Times New Roman"/>
          <w:szCs w:val="32"/>
          <w:highlight w:val="none"/>
          <w:u w:val="none"/>
        </w:rPr>
        <w:t>公用车辆</w:t>
      </w:r>
      <w:r>
        <w:rPr>
          <w:rFonts w:hint="eastAsia"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lang w:val="en-US" w:eastAsia="zh-CN"/>
        </w:rPr>
        <w:t>辆</w:t>
      </w:r>
      <w:r>
        <w:rPr>
          <w:rFonts w:hint="default" w:ascii="Times New Roman" w:hAnsi="Times New Roman" w:eastAsia="方正仿宋_GBK" w:cs="Times New Roman"/>
          <w:szCs w:val="32"/>
          <w:highlight w:val="none"/>
          <w:u w:val="none"/>
          <w:lang w:eastAsia="zh-CN"/>
        </w:rPr>
        <w:t>，</w:t>
      </w:r>
      <w:r>
        <w:rPr>
          <w:rFonts w:hint="default" w:ascii="Times New Roman" w:hAnsi="Times New Roman" w:eastAsia="方正仿宋_GBK" w:cs="Times New Roman"/>
          <w:szCs w:val="32"/>
          <w:highlight w:val="none"/>
          <w:u w:val="none"/>
          <w:lang w:val="en-US" w:eastAsia="zh-CN"/>
        </w:rPr>
        <w:t>统一归</w:t>
      </w:r>
      <w:r>
        <w:rPr>
          <w:rFonts w:hint="eastAsia" w:ascii="Times New Roman" w:hAnsi="Times New Roman" w:eastAsia="方正仿宋_GBK" w:cs="Times New Roman"/>
          <w:szCs w:val="32"/>
          <w:highlight w:val="none"/>
          <w:u w:val="none"/>
          <w:lang w:val="en-US" w:eastAsia="zh-CN"/>
        </w:rPr>
        <w:t>乡</w:t>
      </w:r>
      <w:r>
        <w:rPr>
          <w:rFonts w:hint="default" w:ascii="Times New Roman" w:hAnsi="Times New Roman" w:eastAsia="方正仿宋_GBK" w:cs="Times New Roman"/>
          <w:szCs w:val="32"/>
          <w:highlight w:val="none"/>
          <w:u w:val="none"/>
          <w:lang w:val="en-US" w:eastAsia="zh-CN"/>
        </w:rPr>
        <w:t>政府后勤管理。</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lang w:val="en-US" w:eastAsia="zh-CN"/>
        </w:rPr>
        <w:t>九</w:t>
      </w:r>
      <w:r>
        <w:rPr>
          <w:rFonts w:hint="default" w:ascii="Times New Roman" w:hAnsi="Times New Roman" w:eastAsia="方正楷体简体" w:cs="Times New Roman"/>
          <w:szCs w:val="32"/>
          <w:highlight w:val="none"/>
          <w:u w:val="none"/>
        </w:rPr>
        <w:t>、债务情况说明</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年无政府债务。</w:t>
      </w:r>
    </w:p>
    <w:p>
      <w:pPr>
        <w:spacing w:line="576" w:lineRule="exact"/>
        <w:ind w:firstLine="632" w:firstLineChars="200"/>
        <w:rPr>
          <w:rFonts w:hint="default" w:ascii="Times New Roman" w:hAnsi="Times New Roman" w:eastAsia="方正楷体简体" w:cs="Times New Roman"/>
          <w:szCs w:val="32"/>
          <w:highlight w:val="none"/>
          <w:u w:val="none"/>
        </w:rPr>
      </w:pPr>
      <w:r>
        <w:rPr>
          <w:rFonts w:hint="default" w:ascii="Times New Roman" w:hAnsi="Times New Roman" w:eastAsia="方正楷体简体" w:cs="Times New Roman"/>
          <w:szCs w:val="32"/>
          <w:highlight w:val="none"/>
          <w:u w:val="none"/>
        </w:rPr>
        <w:t>十、重点、重大项目信息</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仿宋_GBK" w:cs="Times New Roman"/>
          <w:szCs w:val="32"/>
          <w:highlight w:val="none"/>
          <w:u w:val="none"/>
        </w:rPr>
        <w:t>我单位</w:t>
      </w:r>
      <w:r>
        <w:rPr>
          <w:rFonts w:hint="default" w:ascii="Times New Roman" w:hAnsi="Times New Roman" w:eastAsia="方正仿宋_GBK" w:cs="Times New Roman"/>
          <w:szCs w:val="32"/>
          <w:highlight w:val="none"/>
          <w:u w:val="none"/>
          <w:lang w:eastAsia="zh-CN"/>
        </w:rPr>
        <w:t>202</w:t>
      </w:r>
      <w:r>
        <w:rPr>
          <w:rFonts w:hint="default" w:ascii="Times New Roman" w:hAnsi="Times New Roman" w:eastAsia="方正仿宋_GBK" w:cs="Times New Roman"/>
          <w:szCs w:val="32"/>
          <w:highlight w:val="none"/>
          <w:u w:val="none"/>
          <w:lang w:val="en-US" w:eastAsia="zh-CN"/>
        </w:rPr>
        <w:t>4</w:t>
      </w:r>
      <w:r>
        <w:rPr>
          <w:rFonts w:hint="default" w:ascii="Times New Roman" w:hAnsi="Times New Roman" w:eastAsia="方正仿宋_GBK" w:cs="Times New Roman"/>
          <w:szCs w:val="32"/>
          <w:highlight w:val="none"/>
          <w:u w:val="none"/>
        </w:rPr>
        <w:t>年无重点、重大项目。</w:t>
      </w: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center"/>
        <w:rPr>
          <w:rFonts w:hint="default" w:ascii="Times New Roman" w:hAnsi="Times New Roman" w:eastAsia="方正仿宋_GBK" w:cs="Times New Roman"/>
          <w:szCs w:val="32"/>
          <w:highlight w:val="none"/>
          <w:u w:val="none"/>
        </w:rPr>
      </w:pPr>
    </w:p>
    <w:p>
      <w:pPr>
        <w:spacing w:line="576" w:lineRule="exact"/>
        <w:jc w:val="both"/>
        <w:rPr>
          <w:rFonts w:hint="default" w:ascii="Times New Roman" w:hAnsi="Times New Roman" w:eastAsia="黑体" w:cs="Times New Roman"/>
          <w:b w:val="0"/>
          <w:bCs w:val="0"/>
          <w:szCs w:val="32"/>
          <w:highlight w:val="none"/>
          <w:u w:val="none"/>
        </w:rPr>
      </w:pPr>
    </w:p>
    <w:p>
      <w:pPr>
        <w:spacing w:line="576" w:lineRule="exact"/>
        <w:jc w:val="center"/>
        <w:rPr>
          <w:rFonts w:hint="default" w:ascii="Times New Roman" w:hAnsi="Times New Roman" w:eastAsia="方正仿宋_GBK" w:cs="Times New Roman"/>
          <w:b/>
          <w:bCs/>
          <w:szCs w:val="32"/>
          <w:highlight w:val="none"/>
          <w:u w:val="none"/>
        </w:rPr>
      </w:pPr>
      <w:r>
        <w:rPr>
          <w:rFonts w:hint="default" w:ascii="Times New Roman" w:hAnsi="Times New Roman" w:eastAsia="黑体" w:cs="Times New Roman"/>
          <w:b w:val="0"/>
          <w:bCs w:val="0"/>
          <w:szCs w:val="32"/>
          <w:highlight w:val="none"/>
          <w:u w:val="none"/>
        </w:rPr>
        <w:t>第四部分</w:t>
      </w:r>
      <w:r>
        <w:rPr>
          <w:rFonts w:hint="default" w:ascii="Times New Roman" w:hAnsi="Times New Roman" w:eastAsia="黑体" w:cs="Times New Roman"/>
          <w:b w:val="0"/>
          <w:bCs w:val="0"/>
          <w:szCs w:val="32"/>
          <w:highlight w:val="none"/>
          <w:u w:val="none"/>
          <w:lang w:val="en-US" w:eastAsia="zh-CN"/>
        </w:rPr>
        <w:t xml:space="preserve"> </w:t>
      </w:r>
      <w:r>
        <w:rPr>
          <w:rFonts w:hint="default" w:ascii="Times New Roman" w:hAnsi="Times New Roman" w:eastAsia="方正仿宋_GBK" w:cs="Times New Roman"/>
          <w:b/>
          <w:bCs/>
          <w:szCs w:val="32"/>
          <w:highlight w:val="none"/>
          <w:u w:val="none"/>
        </w:rPr>
        <w:t>名词解释</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一、一般公共预算拨款收入：</w:t>
      </w:r>
      <w:r>
        <w:rPr>
          <w:rFonts w:hint="default" w:ascii="Times New Roman" w:hAnsi="Times New Roman" w:eastAsia="方正仿宋_GBK" w:cs="Times New Roman"/>
          <w:szCs w:val="32"/>
          <w:highlight w:val="none"/>
          <w:u w:val="none"/>
        </w:rPr>
        <w:t>指财政部门当年拨付的资金。</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二、基本支出：</w:t>
      </w:r>
      <w:r>
        <w:rPr>
          <w:rFonts w:hint="default" w:ascii="Times New Roman" w:hAnsi="Times New Roman" w:eastAsia="方正仿宋_GBK" w:cs="Times New Roman"/>
          <w:szCs w:val="32"/>
          <w:highlight w:val="none"/>
          <w:u w:val="none"/>
        </w:rPr>
        <w:t>是指为保障机构正常运转，完成日常工作任务而发生的人员支出和共用支出。</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三、“三公经费”：</w:t>
      </w:r>
      <w:r>
        <w:rPr>
          <w:rFonts w:hint="default" w:ascii="Times New Roman" w:hAnsi="Times New Roman" w:eastAsia="方正仿宋_GBK" w:cs="Times New Roman"/>
          <w:szCs w:val="32"/>
          <w:highlight w:val="none"/>
          <w:u w:val="none"/>
        </w:rPr>
        <w:t>纳入财政预决算管理的“三公”经费，是指部门用财政拨款安排的因公出国（境）费、公务用车购置及运行费和公务接待费。</w:t>
      </w:r>
    </w:p>
    <w:p>
      <w:pPr>
        <w:spacing w:line="576" w:lineRule="exact"/>
        <w:ind w:firstLine="632" w:firstLineChars="200"/>
        <w:rPr>
          <w:rFonts w:hint="default" w:ascii="Times New Roman" w:hAnsi="Times New Roman" w:eastAsia="方正仿宋_GBK" w:cs="Times New Roman"/>
          <w:szCs w:val="32"/>
          <w:highlight w:val="none"/>
          <w:u w:val="none"/>
        </w:rPr>
      </w:pPr>
      <w:r>
        <w:rPr>
          <w:rFonts w:hint="default" w:ascii="Times New Roman" w:hAnsi="Times New Roman" w:eastAsia="方正楷体简体" w:cs="Times New Roman"/>
          <w:szCs w:val="32"/>
          <w:highlight w:val="none"/>
          <w:u w:val="none"/>
        </w:rPr>
        <w:t>四、机关运行经费：</w:t>
      </w:r>
      <w:r>
        <w:rPr>
          <w:rFonts w:hint="default" w:ascii="Times New Roman" w:hAnsi="Times New Roman" w:eastAsia="方正仿宋_GBK" w:cs="Times New Roman"/>
          <w:szCs w:val="32"/>
          <w:highlight w:val="none"/>
          <w:u w:val="none"/>
        </w:rPr>
        <w:t>是指各部门的公用经费，包括办公及印刷费、邮电费、差旅费、会议费、福利费、日常维修费、水电费、工会经费、公务接待费、公务用车运行费及其他费用。</w:t>
      </w:r>
    </w:p>
    <w:p>
      <w:pPr>
        <w:spacing w:line="576" w:lineRule="exact"/>
        <w:rPr>
          <w:rFonts w:hint="default" w:ascii="Times New Roman" w:hAnsi="Times New Roman" w:eastAsia="方正仿宋_GBK" w:cs="Times New Roman"/>
          <w:szCs w:val="32"/>
          <w:highlight w:val="none"/>
          <w:u w:val="none"/>
        </w:rPr>
      </w:pPr>
    </w:p>
    <w:sectPr>
      <w:footerReference r:id="rId3" w:type="default"/>
      <w:footerReference r:id="rId4" w:type="even"/>
      <w:pgSz w:w="11906" w:h="16838"/>
      <w:pgMar w:top="2098" w:right="1474" w:bottom="1985" w:left="1588" w:header="851" w:footer="1418" w:gutter="0"/>
      <w:pgNumType w:fmt="numberInDash" w:start="1"/>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crosoft YaHei UI">
    <w:panose1 w:val="020B0503020204020204"/>
    <w:charset w:val="86"/>
    <w:family w:val="swiss"/>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仿宋简体">
    <w:panose1 w:val="03000509000000000000"/>
    <w:charset w:val="86"/>
    <w:family w:val="script"/>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posOffset>2477770</wp:posOffset>
              </wp:positionH>
              <wp:positionV relativeFrom="paragraph">
                <wp:posOffset>0</wp:posOffset>
              </wp:positionV>
              <wp:extent cx="441325"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44132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95.1pt;margin-top:0pt;height:144pt;width:34.75pt;mso-position-horizontal-relative:margin;z-index:251659264;mso-width-relative:page;mso-height-relative:page;" filled="f" stroked="f" coordsize="21600,21600" o:gfxdata="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O42yXvWAAAACAEA&#10;AA8AAAAAAAAAAQAgAAAAIgAAAGRycy9kb3ducmV2LnhtbFBLAQIUABQAAAAIAIdO4kCSU0n6HAIA&#10;ABQEAAAOAAAAAAAAAAEAIAAAACUBAABkcnMvZTJvRG9jLnhtbFBLBQYAAAAABgAGAFkBAACzBQAA&#10;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4"/>
                      <w:rPr>
                        <w:rFonts w:hint="eastAsia"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  \* MERGEFORMAT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bordersDoNotSurroundHeader w:val="0"/>
  <w:bordersDoNotSurroundFooter w:val="0"/>
  <w:documentProtection w:enforcement="0"/>
  <w:defaultTabStop w:val="420"/>
  <w:evenAndOddHeaders w:val="1"/>
  <w:drawingGridHorizontalSpacing w:val="158"/>
  <w:drawingGridVerticalSpacing w:val="57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VlZGQ4YTRjOWFkNmQ1M2I0YWJjYWUyZWRiNjQwNzUifQ=="/>
  </w:docVars>
  <w:rsids>
    <w:rsidRoot w:val="00BD6503"/>
    <w:rsid w:val="00037884"/>
    <w:rsid w:val="0007665C"/>
    <w:rsid w:val="000D46E4"/>
    <w:rsid w:val="001076DA"/>
    <w:rsid w:val="001168A7"/>
    <w:rsid w:val="001D459B"/>
    <w:rsid w:val="00227802"/>
    <w:rsid w:val="00247A27"/>
    <w:rsid w:val="0026485A"/>
    <w:rsid w:val="00274DC3"/>
    <w:rsid w:val="00281225"/>
    <w:rsid w:val="002B4237"/>
    <w:rsid w:val="002C3EB5"/>
    <w:rsid w:val="0032265F"/>
    <w:rsid w:val="00367D2D"/>
    <w:rsid w:val="00372D79"/>
    <w:rsid w:val="0039579C"/>
    <w:rsid w:val="003B6733"/>
    <w:rsid w:val="004826E3"/>
    <w:rsid w:val="004A737F"/>
    <w:rsid w:val="004A7F9F"/>
    <w:rsid w:val="004C2901"/>
    <w:rsid w:val="004E29C2"/>
    <w:rsid w:val="004F1C33"/>
    <w:rsid w:val="00506C8E"/>
    <w:rsid w:val="00524803"/>
    <w:rsid w:val="00566324"/>
    <w:rsid w:val="005B7F37"/>
    <w:rsid w:val="00657E6C"/>
    <w:rsid w:val="006740AD"/>
    <w:rsid w:val="0077198D"/>
    <w:rsid w:val="00792B41"/>
    <w:rsid w:val="00796391"/>
    <w:rsid w:val="007C0976"/>
    <w:rsid w:val="00804FA8"/>
    <w:rsid w:val="00844FCD"/>
    <w:rsid w:val="008F65A6"/>
    <w:rsid w:val="00930C06"/>
    <w:rsid w:val="00945FCF"/>
    <w:rsid w:val="00995FA3"/>
    <w:rsid w:val="009C73B9"/>
    <w:rsid w:val="009E37B1"/>
    <w:rsid w:val="00A82CBE"/>
    <w:rsid w:val="00AE5B27"/>
    <w:rsid w:val="00AF06EC"/>
    <w:rsid w:val="00B35B08"/>
    <w:rsid w:val="00BA6E10"/>
    <w:rsid w:val="00BB4A02"/>
    <w:rsid w:val="00BD4B04"/>
    <w:rsid w:val="00BD6503"/>
    <w:rsid w:val="00C32BA5"/>
    <w:rsid w:val="00C60103"/>
    <w:rsid w:val="00C645DF"/>
    <w:rsid w:val="00C92FBF"/>
    <w:rsid w:val="00C94D14"/>
    <w:rsid w:val="00CC4899"/>
    <w:rsid w:val="00CF54C0"/>
    <w:rsid w:val="00D029FB"/>
    <w:rsid w:val="00D34855"/>
    <w:rsid w:val="00D45A22"/>
    <w:rsid w:val="00D6631F"/>
    <w:rsid w:val="00D81276"/>
    <w:rsid w:val="00DB6B0E"/>
    <w:rsid w:val="00DF3E56"/>
    <w:rsid w:val="00E44AF6"/>
    <w:rsid w:val="00E91CE7"/>
    <w:rsid w:val="00EB4C93"/>
    <w:rsid w:val="00EF1725"/>
    <w:rsid w:val="00F33A91"/>
    <w:rsid w:val="00FB76C8"/>
    <w:rsid w:val="030A0C27"/>
    <w:rsid w:val="0C2023B8"/>
    <w:rsid w:val="0C3476A1"/>
    <w:rsid w:val="0CD66F75"/>
    <w:rsid w:val="0CFB0E04"/>
    <w:rsid w:val="0E427E43"/>
    <w:rsid w:val="104F7BF5"/>
    <w:rsid w:val="15BA6B35"/>
    <w:rsid w:val="1772740C"/>
    <w:rsid w:val="17E250D4"/>
    <w:rsid w:val="1D606D4C"/>
    <w:rsid w:val="1FC10560"/>
    <w:rsid w:val="232D4C74"/>
    <w:rsid w:val="2739626C"/>
    <w:rsid w:val="29A97F26"/>
    <w:rsid w:val="2AF15282"/>
    <w:rsid w:val="2EED096A"/>
    <w:rsid w:val="2F9905A6"/>
    <w:rsid w:val="382849B1"/>
    <w:rsid w:val="38CD0256"/>
    <w:rsid w:val="39106EF0"/>
    <w:rsid w:val="3A457D6D"/>
    <w:rsid w:val="3C4B4F11"/>
    <w:rsid w:val="3D944A6D"/>
    <w:rsid w:val="43BD3D2A"/>
    <w:rsid w:val="44105A5D"/>
    <w:rsid w:val="462B2178"/>
    <w:rsid w:val="4F9F3625"/>
    <w:rsid w:val="580D5BA1"/>
    <w:rsid w:val="58744E8B"/>
    <w:rsid w:val="5EB25DC0"/>
    <w:rsid w:val="626C747B"/>
    <w:rsid w:val="62926DC6"/>
    <w:rsid w:val="65223CA6"/>
    <w:rsid w:val="65BD4A8A"/>
    <w:rsid w:val="67E0314A"/>
    <w:rsid w:val="6E9309F8"/>
    <w:rsid w:val="6FCD6184"/>
    <w:rsid w:val="6FE729EA"/>
    <w:rsid w:val="70AC28EB"/>
    <w:rsid w:val="73843C53"/>
    <w:rsid w:val="744501A4"/>
    <w:rsid w:val="78923B83"/>
    <w:rsid w:val="79912566"/>
    <w:rsid w:val="7E9F62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paragraph" w:styleId="2">
    <w:name w:val="heading 1"/>
    <w:next w:val="1"/>
    <w:link w:val="9"/>
    <w:qFormat/>
    <w:uiPriority w:val="9"/>
    <w:pPr>
      <w:keepNext/>
      <w:keepLines/>
      <w:pBdr>
        <w:bottom w:val="single" w:color="DBE5F1" w:themeColor="accent1" w:themeTint="33" w:sz="8" w:space="0"/>
      </w:pBdr>
      <w:spacing w:after="200" w:line="300" w:lineRule="auto"/>
      <w:outlineLvl w:val="0"/>
    </w:pPr>
    <w:rPr>
      <w:rFonts w:eastAsia="Microsoft YaHei UI" w:asciiTheme="majorHAnsi" w:hAnsiTheme="majorHAnsi" w:cstheme="majorBidi"/>
      <w:color w:val="4F81BD" w:themeColor="accent1"/>
      <w:sz w:val="36"/>
      <w:szCs w:val="36"/>
      <w:lang w:val="en-US" w:eastAsia="ja-JP" w:bidi="ar-SA"/>
      <w14:textFill>
        <w14:solidFill>
          <w14:schemeClr w14:val="accent1"/>
        </w14:solidFill>
      </w14:textFill>
    </w:rPr>
  </w:style>
  <w:style w:type="paragraph" w:styleId="3">
    <w:name w:val="heading 2"/>
    <w:next w:val="1"/>
    <w:link w:val="10"/>
    <w:unhideWhenUsed/>
    <w:qFormat/>
    <w:uiPriority w:val="9"/>
    <w:pPr>
      <w:keepNext/>
      <w:keepLines/>
      <w:spacing w:before="120" w:after="120"/>
      <w:outlineLvl w:val="1"/>
    </w:pPr>
    <w:rPr>
      <w:rFonts w:eastAsia="Microsoft YaHei UI" w:asciiTheme="minorHAnsi" w:hAnsiTheme="minorHAnsi" w:cstheme="minorBidi"/>
      <w:b/>
      <w:bCs/>
      <w:color w:val="1F497D" w:themeColor="text2"/>
      <w:sz w:val="26"/>
      <w:szCs w:val="26"/>
      <w:lang w:val="en-US" w:eastAsia="ja-JP" w:bidi="ar-SA"/>
      <w14:textFill>
        <w14:solidFill>
          <w14:schemeClr w14:val="tx2"/>
        </w14:solidFill>
      </w14:textFill>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标题 1 Char"/>
    <w:basedOn w:val="8"/>
    <w:link w:val="2"/>
    <w:qFormat/>
    <w:uiPriority w:val="9"/>
    <w:rPr>
      <w:rFonts w:eastAsia="Microsoft YaHei UI" w:asciiTheme="majorHAnsi" w:hAnsiTheme="majorHAnsi" w:cstheme="majorBidi"/>
      <w:color w:val="4F81BD" w:themeColor="accent1"/>
      <w:kern w:val="0"/>
      <w:sz w:val="36"/>
      <w:szCs w:val="36"/>
      <w:lang w:eastAsia="ja-JP"/>
      <w14:textFill>
        <w14:solidFill>
          <w14:schemeClr w14:val="accent1"/>
        </w14:solidFill>
      </w14:textFill>
    </w:rPr>
  </w:style>
  <w:style w:type="character" w:customStyle="1" w:styleId="10">
    <w:name w:val="标题 2 Char"/>
    <w:basedOn w:val="8"/>
    <w:link w:val="3"/>
    <w:qFormat/>
    <w:uiPriority w:val="9"/>
    <w:rPr>
      <w:rFonts w:eastAsia="Microsoft YaHei UI"/>
      <w:b/>
      <w:bCs/>
      <w:color w:val="1F497D" w:themeColor="text2"/>
      <w:kern w:val="0"/>
      <w:sz w:val="26"/>
      <w:szCs w:val="26"/>
      <w:lang w:eastAsia="ja-JP"/>
      <w14:textFill>
        <w14:solidFill>
          <w14:schemeClr w14:val="tx2"/>
        </w14:solidFill>
      </w14:textFill>
    </w:rPr>
  </w:style>
  <w:style w:type="character" w:customStyle="1" w:styleId="11">
    <w:name w:val="页眉 Char"/>
    <w:basedOn w:val="8"/>
    <w:link w:val="5"/>
    <w:qFormat/>
    <w:uiPriority w:val="99"/>
    <w:rPr>
      <w:sz w:val="18"/>
      <w:szCs w:val="18"/>
    </w:rPr>
  </w:style>
  <w:style w:type="character" w:customStyle="1" w:styleId="12">
    <w:name w:val="页脚 Char"/>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1614E5-6592-40E0-B01A-6D6B56A5909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715</Words>
  <Characters>4082</Characters>
  <Lines>34</Lines>
  <Paragraphs>9</Paragraphs>
  <TotalTime>1</TotalTime>
  <ScaleCrop>false</ScaleCrop>
  <LinksUpToDate>false</LinksUpToDate>
  <CharactersWithSpaces>4788</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2020-08-14T09:05:00Z</dcterms:created>
  <dc:creator>ds</dc:creator>
  <cp:lastModifiedBy>Administrator</cp:lastModifiedBy>
  <dcterms:modified xsi:type="dcterms:W3CDTF">2025-10-21T02:58:37Z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B36C5C413B5B430EB5CB2A0CCE2C8593</vt:lpwstr>
  </property>
</Properties>
</file>