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right="282" w:firstLine="728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24"/>
          <w:sz w:val="32"/>
          <w:szCs w:val="32"/>
          <w:highlight w:val="none"/>
          <w:lang w:val="en-US" w:eastAsia="zh-CN"/>
        </w:rPr>
        <w:t>1.</w:t>
      </w:r>
      <w:r>
        <w:rPr>
          <w:rFonts w:ascii="仿宋" w:hAnsi="仿宋" w:eastAsia="仿宋"/>
          <w:spacing w:val="19"/>
          <w:sz w:val="32"/>
          <w:szCs w:val="32"/>
          <w:highlight w:val="none"/>
        </w:rPr>
        <w:t>贯彻落实经济和信息化领域法律法规。依法依规拟订</w:t>
      </w:r>
      <w:r>
        <w:rPr>
          <w:rFonts w:ascii="仿宋" w:hAnsi="仿宋" w:eastAsia="仿宋"/>
          <w:spacing w:val="12"/>
          <w:sz w:val="32"/>
          <w:szCs w:val="32"/>
          <w:highlight w:val="none"/>
        </w:rPr>
        <w:t>并组织实施相关规划、地方标准和行业技术规范。协调解决新型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工业化进程中的重要问题。</w:t>
      </w:r>
    </w:p>
    <w:p>
      <w:pPr>
        <w:spacing w:line="576" w:lineRule="exact"/>
        <w:ind w:right="163" w:firstLine="7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24"/>
          <w:sz w:val="32"/>
          <w:szCs w:val="32"/>
          <w:highlight w:val="none"/>
          <w:lang w:val="en-US" w:eastAsia="zh-CN"/>
        </w:rPr>
        <w:t>2.</w:t>
      </w:r>
      <w:r>
        <w:rPr>
          <w:rFonts w:ascii="仿宋" w:hAnsi="仿宋" w:eastAsia="仿宋"/>
          <w:spacing w:val="12"/>
          <w:sz w:val="32"/>
          <w:szCs w:val="32"/>
          <w:highlight w:val="none"/>
        </w:rPr>
        <w:t>提出优化全县工业经济、数字经济和信息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化建设布局、</w:t>
      </w:r>
      <w:r>
        <w:rPr>
          <w:rFonts w:ascii="仿宋" w:hAnsi="仿宋" w:eastAsia="仿宋"/>
          <w:spacing w:val="12"/>
          <w:sz w:val="32"/>
          <w:szCs w:val="32"/>
          <w:highlight w:val="none"/>
        </w:rPr>
        <w:t>结构调整、对外开放和利用外资的政策建议，推动相关领域供给侧结构性改革和承接产业转移工作，推进产业结构调整和</w:t>
      </w:r>
      <w:r>
        <w:rPr>
          <w:rFonts w:hint="eastAsia" w:ascii="仿宋" w:hAnsi="仿宋" w:eastAsia="仿宋"/>
          <w:spacing w:val="12"/>
          <w:sz w:val="32"/>
          <w:szCs w:val="32"/>
          <w:highlight w:val="none"/>
        </w:rPr>
        <w:t>优化升</w:t>
      </w:r>
      <w:r>
        <w:rPr>
          <w:rFonts w:ascii="仿宋" w:hAnsi="仿宋" w:eastAsia="仿宋"/>
          <w:spacing w:val="15"/>
          <w:sz w:val="32"/>
          <w:szCs w:val="32"/>
          <w:highlight w:val="none"/>
        </w:rPr>
        <w:t>级。</w:t>
      </w:r>
    </w:p>
    <w:p>
      <w:pPr>
        <w:spacing w:line="576" w:lineRule="exact"/>
        <w:ind w:right="162" w:firstLine="7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24"/>
          <w:sz w:val="32"/>
          <w:szCs w:val="32"/>
          <w:highlight w:val="none"/>
          <w:lang w:val="en-US" w:eastAsia="zh-CN"/>
        </w:rPr>
        <w:t>3.</w:t>
      </w:r>
      <w:r>
        <w:rPr>
          <w:rFonts w:ascii="仿宋" w:hAnsi="仿宋" w:eastAsia="仿宋"/>
          <w:spacing w:val="24"/>
          <w:sz w:val="32"/>
          <w:szCs w:val="32"/>
          <w:highlight w:val="none"/>
        </w:rPr>
        <w:t>归口管理工业和信息化领域固定资产投资</w:t>
      </w:r>
      <w:r>
        <w:rPr>
          <w:rFonts w:hint="eastAsia" w:ascii="仿宋" w:hAnsi="仿宋" w:eastAsia="仿宋"/>
          <w:spacing w:val="24"/>
          <w:sz w:val="32"/>
          <w:szCs w:val="32"/>
          <w:highlight w:val="none"/>
        </w:rPr>
        <w:t>（</w:t>
      </w:r>
      <w:r>
        <w:rPr>
          <w:rFonts w:ascii="仿宋" w:hAnsi="仿宋" w:eastAsia="仿宋"/>
          <w:spacing w:val="24"/>
          <w:sz w:val="32"/>
          <w:szCs w:val="32"/>
          <w:highlight w:val="none"/>
        </w:rPr>
        <w:t>含技术改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造</w:t>
      </w:r>
      <w:r>
        <w:rPr>
          <w:rFonts w:hint="eastAsia" w:ascii="仿宋" w:hAnsi="仿宋" w:eastAsia="仿宋"/>
          <w:spacing w:val="17"/>
          <w:sz w:val="32"/>
          <w:szCs w:val="32"/>
          <w:highlight w:val="none"/>
        </w:rPr>
        <w:t>）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工作，负责提出全县工业经济、数字经济和信息化领域固定</w:t>
      </w:r>
      <w:r>
        <w:rPr>
          <w:rFonts w:ascii="仿宋" w:hAnsi="仿宋" w:eastAsia="仿宋"/>
          <w:spacing w:val="6"/>
          <w:sz w:val="32"/>
          <w:szCs w:val="32"/>
          <w:highlight w:val="none"/>
        </w:rPr>
        <w:t>资产投资规模和方向、中央及自治区、市、县用于全县</w:t>
      </w:r>
      <w:r>
        <w:rPr>
          <w:rFonts w:ascii="仿宋" w:hAnsi="仿宋" w:eastAsia="仿宋"/>
          <w:spacing w:val="5"/>
          <w:sz w:val="32"/>
          <w:szCs w:val="32"/>
          <w:highlight w:val="none"/>
        </w:rPr>
        <w:t>工业经济、</w:t>
      </w:r>
      <w:r>
        <w:rPr>
          <w:rFonts w:ascii="仿宋" w:hAnsi="仿宋" w:eastAsia="仿宋"/>
          <w:spacing w:val="12"/>
          <w:sz w:val="32"/>
          <w:szCs w:val="32"/>
          <w:highlight w:val="none"/>
        </w:rPr>
        <w:t>数字经济和信息化领域财政性建设资金安排计划。统筹使用县本</w:t>
      </w:r>
      <w:r>
        <w:rPr>
          <w:rFonts w:ascii="仿宋" w:hAnsi="仿宋" w:eastAsia="仿宋"/>
          <w:spacing w:val="13"/>
          <w:sz w:val="32"/>
          <w:szCs w:val="32"/>
          <w:highlight w:val="none"/>
        </w:rPr>
        <w:t>级政务信息化建设、运行、维护资金。</w:t>
      </w:r>
    </w:p>
    <w:p>
      <w:pPr>
        <w:spacing w:line="576" w:lineRule="exact"/>
        <w:ind w:firstLine="708" w:firstLineChars="200"/>
        <w:rPr>
          <w:rFonts w:ascii="仿宋" w:hAnsi="仿宋" w:eastAsia="仿宋"/>
          <w:spacing w:val="-1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9"/>
          <w:sz w:val="32"/>
          <w:szCs w:val="32"/>
          <w:highlight w:val="none"/>
          <w:lang w:val="en-US" w:eastAsia="zh-CN"/>
        </w:rPr>
        <w:t>4.</w:t>
      </w:r>
      <w:r>
        <w:rPr>
          <w:rFonts w:ascii="仿宋" w:hAnsi="仿宋" w:eastAsia="仿宋"/>
          <w:spacing w:val="19"/>
          <w:sz w:val="32"/>
          <w:szCs w:val="32"/>
          <w:highlight w:val="none"/>
        </w:rPr>
        <w:t>负责工业经济、数字经济的运行调度</w:t>
      </w:r>
      <w:r>
        <w:rPr>
          <w:rFonts w:ascii="仿宋" w:hAnsi="仿宋" w:eastAsia="仿宋"/>
          <w:spacing w:val="18"/>
          <w:sz w:val="32"/>
          <w:szCs w:val="32"/>
          <w:highlight w:val="none"/>
        </w:rPr>
        <w:t>工作。监测、分</w:t>
      </w:r>
      <w:r>
        <w:rPr>
          <w:rFonts w:ascii="仿宋" w:hAnsi="仿宋" w:eastAsia="仿宋"/>
          <w:spacing w:val="16"/>
          <w:sz w:val="32"/>
          <w:szCs w:val="32"/>
          <w:highlight w:val="none"/>
        </w:rPr>
        <w:t>析全县工业经济、数字经济的运行态势和质量，进行预测预警、</w:t>
      </w:r>
      <w:r>
        <w:rPr>
          <w:rFonts w:ascii="仿宋" w:hAnsi="仿宋" w:eastAsia="仿宋"/>
          <w:spacing w:val="12"/>
          <w:sz w:val="32"/>
          <w:szCs w:val="32"/>
          <w:highlight w:val="none"/>
        </w:rPr>
        <w:t>统计并发布相关信息，加强信息引导。协调解决行业运行发展中的重要问题。统筹工业和信息化领域产业运行安全和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国防动员</w:t>
      </w:r>
      <w:r>
        <w:rPr>
          <w:rFonts w:ascii="仿宋" w:hAnsi="仿宋" w:eastAsia="仿宋"/>
          <w:spacing w:val="13"/>
          <w:sz w:val="32"/>
          <w:szCs w:val="32"/>
          <w:highlight w:val="none"/>
        </w:rPr>
        <w:t>把</w:t>
      </w:r>
      <w:r>
        <w:rPr>
          <w:rFonts w:hint="eastAsia" w:ascii="仿宋" w:hAnsi="仿宋" w:eastAsia="仿宋"/>
          <w:spacing w:val="13"/>
          <w:sz w:val="32"/>
          <w:szCs w:val="32"/>
          <w:highlight w:val="none"/>
        </w:rPr>
        <w:t>项工作</w:t>
      </w:r>
      <w:r>
        <w:rPr>
          <w:rFonts w:ascii="仿宋" w:hAnsi="仿宋" w:eastAsia="仿宋"/>
          <w:spacing w:val="-1"/>
          <w:sz w:val="32"/>
          <w:szCs w:val="32"/>
          <w:highlight w:val="none"/>
        </w:rPr>
        <w:t>。</w:t>
      </w:r>
    </w:p>
    <w:p>
      <w:pPr>
        <w:spacing w:line="576" w:lineRule="exact"/>
        <w:ind w:firstLine="70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7"/>
          <w:sz w:val="32"/>
          <w:szCs w:val="32"/>
          <w:highlight w:val="none"/>
          <w:lang w:val="en-US" w:eastAsia="zh-CN"/>
        </w:rPr>
        <w:t>5.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推动工业经济、数字经济和信息化行业改革及管理创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新。指导行业质量管理和品牌培育、品牌创建工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作。指导行业技</w:t>
      </w:r>
      <w:r>
        <w:rPr>
          <w:rFonts w:hint="eastAsia" w:ascii="仿宋" w:hAnsi="仿宋" w:eastAsia="仿宋"/>
          <w:sz w:val="32"/>
          <w:szCs w:val="32"/>
          <w:highlight w:val="none"/>
        </w:rPr>
        <w:t>技术创新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和技术进步。组织实施国家及自治区、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市、县相关领域科</w:t>
      </w:r>
      <w:r>
        <w:rPr>
          <w:rFonts w:ascii="仿宋" w:hAnsi="仿宋" w:eastAsia="仿宋"/>
          <w:spacing w:val="6"/>
          <w:sz w:val="32"/>
          <w:szCs w:val="32"/>
          <w:highlight w:val="none"/>
        </w:rPr>
        <w:t>技重大专项。</w:t>
      </w:r>
    </w:p>
    <w:p>
      <w:pPr>
        <w:spacing w:line="576" w:lineRule="exact"/>
        <w:ind w:right="118" w:firstLine="70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7"/>
          <w:sz w:val="32"/>
          <w:szCs w:val="32"/>
          <w:highlight w:val="none"/>
          <w:lang w:val="en-US" w:eastAsia="zh-CN"/>
        </w:rPr>
        <w:t>6.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承担县绿色工业专项工作。推动全县工业领域的节能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降耗减排、清洁生产和资源综合利用工作，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参与拟订能源节约和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资源综合利用、清洁生产和污染控制的制度措施。协调解决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工业</w:t>
      </w:r>
      <w:r>
        <w:rPr>
          <w:rFonts w:ascii="仿宋" w:hAnsi="仿宋" w:eastAsia="仿宋"/>
          <w:spacing w:val="22"/>
          <w:sz w:val="32"/>
          <w:szCs w:val="32"/>
          <w:highlight w:val="none"/>
        </w:rPr>
        <w:t>化与生态环境协调发展中的重要问题，助力建设生态文明示范</w:t>
      </w:r>
      <w:r>
        <w:rPr>
          <w:rFonts w:ascii="仿宋" w:hAnsi="仿宋" w:eastAsia="仿宋"/>
          <w:spacing w:val="-6"/>
          <w:sz w:val="32"/>
          <w:szCs w:val="32"/>
          <w:highlight w:val="none"/>
        </w:rPr>
        <w:t>市。</w:t>
      </w:r>
    </w:p>
    <w:p>
      <w:pPr>
        <w:spacing w:line="576" w:lineRule="exact"/>
        <w:ind w:right="117" w:firstLine="700" w:firstLineChars="200"/>
        <w:rPr>
          <w:rFonts w:ascii="仿宋" w:hAnsi="仿宋" w:eastAsia="仿宋"/>
          <w:spacing w:val="13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7"/>
          <w:sz w:val="32"/>
          <w:szCs w:val="32"/>
          <w:highlight w:val="none"/>
          <w:lang w:val="en-US" w:eastAsia="zh-CN"/>
        </w:rPr>
        <w:t>7.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负责原材料工业、消费品工业、装备制造业</w:t>
      </w:r>
      <w:r>
        <w:rPr>
          <w:rFonts w:ascii="仿宋" w:hAnsi="仿宋" w:eastAsia="仿宋"/>
          <w:spacing w:val="16"/>
          <w:sz w:val="32"/>
          <w:szCs w:val="32"/>
          <w:highlight w:val="none"/>
        </w:rPr>
        <w:t>、电子信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息产品制造业、软件和信息技术服务业、国防科技工业的行业管</w:t>
      </w:r>
      <w:r>
        <w:rPr>
          <w:rFonts w:ascii="仿宋" w:hAnsi="仿宋" w:eastAsia="仿宋"/>
          <w:spacing w:val="13"/>
          <w:sz w:val="32"/>
          <w:szCs w:val="32"/>
          <w:highlight w:val="none"/>
        </w:rPr>
        <w:t>理工作。负责盐业和民用爆炸物品行业管理工作。</w:t>
      </w:r>
    </w:p>
    <w:p>
      <w:pPr>
        <w:spacing w:line="576" w:lineRule="exact"/>
        <w:ind w:right="117" w:firstLine="70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7"/>
          <w:sz w:val="32"/>
          <w:szCs w:val="32"/>
          <w:highlight w:val="none"/>
          <w:lang w:val="en-US" w:eastAsia="zh-CN"/>
        </w:rPr>
        <w:t>8.</w:t>
      </w:r>
      <w:r>
        <w:rPr>
          <w:rFonts w:ascii="仿宋" w:hAnsi="仿宋" w:eastAsia="仿宋"/>
          <w:spacing w:val="17"/>
          <w:sz w:val="32"/>
          <w:szCs w:val="32"/>
          <w:highlight w:val="none"/>
        </w:rPr>
        <w:t>负责全县中小企业发展的宏观指导、综合协</w:t>
      </w:r>
      <w:r>
        <w:rPr>
          <w:rFonts w:ascii="仿宋" w:hAnsi="仿宋" w:eastAsia="仿宋"/>
          <w:spacing w:val="16"/>
          <w:sz w:val="32"/>
          <w:szCs w:val="32"/>
          <w:highlight w:val="none"/>
        </w:rPr>
        <w:t>调和监督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检查。拟订并组织实施促进中小企业发展规划和制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度措施。提出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中央及自治区、市、县用于扶持中小企业发展专项资金的安排意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见。指导中小企业服务体系建设和交流合作。支持中小企业专精</w:t>
      </w:r>
      <w:r>
        <w:rPr>
          <w:rFonts w:ascii="仿宋" w:hAnsi="仿宋" w:eastAsia="仿宋"/>
          <w:spacing w:val="3"/>
          <w:sz w:val="32"/>
          <w:szCs w:val="32"/>
          <w:highlight w:val="none"/>
        </w:rPr>
        <w:t>特新发展。</w:t>
      </w:r>
    </w:p>
    <w:p>
      <w:pPr>
        <w:spacing w:line="576" w:lineRule="exact"/>
        <w:ind w:firstLine="672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0"/>
          <w:sz w:val="32"/>
          <w:szCs w:val="32"/>
          <w:highlight w:val="none"/>
          <w:lang w:val="en-US" w:eastAsia="zh-CN"/>
        </w:rPr>
        <w:t>9.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负责统筹推进全县信息化建设和数字巴青、数字经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济、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数字社会规划和建设，贯彻执行国家大数据战略。协调推动公共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服务和社会治理信息化，协调促进智慧城市建设。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组织拟订有关</w:t>
      </w:r>
      <w:r>
        <w:rPr>
          <w:rFonts w:ascii="仿宋" w:hAnsi="仿宋" w:eastAsia="仿宋"/>
          <w:spacing w:val="11"/>
          <w:sz w:val="32"/>
          <w:szCs w:val="32"/>
          <w:highlight w:val="none"/>
        </w:rPr>
        <w:t>数字基础设施布局规划，协调推进数字基础设施布局建设。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联系</w:t>
      </w:r>
    </w:p>
    <w:p>
      <w:pPr>
        <w:spacing w:line="576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pacing w:val="1"/>
          <w:sz w:val="32"/>
          <w:szCs w:val="32"/>
          <w:highlight w:val="none"/>
        </w:rPr>
        <w:t>在县基础电信企业工作。</w:t>
      </w:r>
    </w:p>
    <w:p>
      <w:pPr>
        <w:spacing w:line="576" w:lineRule="exact"/>
        <w:ind w:right="59" w:firstLine="672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0"/>
          <w:sz w:val="32"/>
          <w:szCs w:val="32"/>
          <w:highlight w:val="none"/>
          <w:lang w:val="en-US" w:eastAsia="zh-CN"/>
        </w:rPr>
        <w:t>10.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承担县高新数字产业专项工作。负责统筹推进全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县数</w:t>
      </w:r>
      <w:r>
        <w:rPr>
          <w:rFonts w:ascii="仿宋" w:hAnsi="仿宋" w:eastAsia="仿宋"/>
          <w:spacing w:val="5"/>
          <w:sz w:val="32"/>
          <w:szCs w:val="32"/>
          <w:highlight w:val="none"/>
        </w:rPr>
        <w:t>字经济和数据应用发展，指导协调数字经济发展</w:t>
      </w:r>
      <w:r>
        <w:rPr>
          <w:rFonts w:ascii="仿宋" w:hAnsi="仿宋" w:eastAsia="仿宋"/>
          <w:spacing w:val="4"/>
          <w:sz w:val="32"/>
          <w:szCs w:val="32"/>
          <w:highlight w:val="none"/>
        </w:rPr>
        <w:t>中的重要问题，</w:t>
      </w:r>
      <w:r>
        <w:rPr>
          <w:rFonts w:ascii="仿宋" w:hAnsi="仿宋" w:eastAsia="仿宋"/>
          <w:spacing w:val="5"/>
          <w:sz w:val="32"/>
          <w:szCs w:val="32"/>
          <w:highlight w:val="none"/>
        </w:rPr>
        <w:t>促进数字产业化和产业数字化。推动跨领域跨行</w:t>
      </w:r>
      <w:r>
        <w:rPr>
          <w:rFonts w:ascii="仿宋" w:hAnsi="仿宋" w:eastAsia="仿宋"/>
          <w:spacing w:val="4"/>
          <w:sz w:val="32"/>
          <w:szCs w:val="32"/>
          <w:highlight w:val="none"/>
        </w:rPr>
        <w:t>业数字化转型，</w:t>
      </w:r>
      <w:r>
        <w:rPr>
          <w:rFonts w:ascii="仿宋" w:hAnsi="仿宋" w:eastAsia="仿宋"/>
          <w:spacing w:val="2"/>
          <w:sz w:val="32"/>
          <w:szCs w:val="32"/>
          <w:highlight w:val="none"/>
        </w:rPr>
        <w:t>促进数字经济和实体经济深度融合，推动工业化和信息化融合发</w:t>
      </w:r>
      <w:r>
        <w:rPr>
          <w:rFonts w:ascii="仿宋" w:hAnsi="仿宋" w:eastAsia="仿宋"/>
          <w:spacing w:val="4"/>
          <w:sz w:val="32"/>
          <w:szCs w:val="32"/>
          <w:highlight w:val="none"/>
        </w:rPr>
        <w:t>展，助力建设高质量发展示范市。</w:t>
      </w:r>
    </w:p>
    <w:p>
      <w:pPr>
        <w:spacing w:line="576" w:lineRule="exact"/>
        <w:ind w:right="122" w:firstLine="672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0"/>
          <w:sz w:val="32"/>
          <w:szCs w:val="32"/>
          <w:highlight w:val="none"/>
          <w:lang w:val="en-US" w:eastAsia="zh-CN"/>
        </w:rPr>
        <w:t>11.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协调推进数据要素产权、流通、分配、治理等数据 基础制度建设，指导数据要素市场建设，研究提出培育数据要素 市场的建议，引导数据交易场所建设发展</w:t>
      </w:r>
      <w:r>
        <w:rPr>
          <w:rFonts w:ascii="仿宋" w:hAnsi="仿宋" w:eastAsia="仿宋"/>
          <w:spacing w:val="2"/>
          <w:sz w:val="32"/>
          <w:szCs w:val="32"/>
          <w:highlight w:val="none"/>
        </w:rPr>
        <w:t xml:space="preserve">。协调推进数据领域核 </w:t>
      </w:r>
      <w:r>
        <w:rPr>
          <w:rFonts w:hint="eastAsia" w:ascii="仿宋" w:hAnsi="仿宋" w:eastAsia="仿宋"/>
          <w:spacing w:val="2"/>
          <w:sz w:val="32"/>
          <w:szCs w:val="32"/>
          <w:highlight w:val="none"/>
        </w:rPr>
        <w:t>新技术</w:t>
      </w:r>
      <w:r>
        <w:rPr>
          <w:rFonts w:ascii="仿宋" w:hAnsi="仿宋" w:eastAsia="仿宋"/>
          <w:spacing w:val="3"/>
          <w:sz w:val="32"/>
          <w:szCs w:val="32"/>
          <w:highlight w:val="none"/>
        </w:rPr>
        <w:t>、关键设备等重大科技攻关。</w:t>
      </w:r>
    </w:p>
    <w:p>
      <w:pPr>
        <w:spacing w:line="576" w:lineRule="exact"/>
        <w:ind w:right="122" w:firstLine="672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0"/>
          <w:sz w:val="32"/>
          <w:szCs w:val="32"/>
          <w:highlight w:val="none"/>
          <w:lang w:val="en-US" w:eastAsia="zh-CN"/>
        </w:rPr>
        <w:t>12.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统筹数据资源整合共享和开发利用。</w:t>
      </w:r>
      <w:r>
        <w:rPr>
          <w:rFonts w:ascii="仿宋" w:hAnsi="仿宋" w:eastAsia="仿宋"/>
          <w:spacing w:val="9"/>
          <w:sz w:val="32"/>
          <w:szCs w:val="32"/>
          <w:highlight w:val="none"/>
        </w:rPr>
        <w:t>协</w:t>
      </w:r>
      <w:r>
        <w:rPr>
          <w:rFonts w:ascii="仿宋" w:hAnsi="仿宋" w:eastAsia="仿宋"/>
          <w:spacing w:val="8"/>
          <w:sz w:val="32"/>
          <w:szCs w:val="32"/>
          <w:highlight w:val="none"/>
        </w:rPr>
        <w:t>调推进数据</w:t>
      </w:r>
      <w:r>
        <w:rPr>
          <w:rFonts w:ascii="仿宋" w:hAnsi="仿宋" w:eastAsia="仿宋"/>
          <w:spacing w:val="2"/>
          <w:sz w:val="32"/>
          <w:szCs w:val="32"/>
          <w:highlight w:val="none"/>
        </w:rPr>
        <w:t>资源分类分级管理，组织推动公共数据资源开发利用，推动信息资源跨行业跨部门互联互通。</w:t>
      </w:r>
    </w:p>
    <w:p>
      <w:pPr>
        <w:spacing w:line="576" w:lineRule="exact"/>
        <w:ind w:firstLine="672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pacing w:val="10"/>
          <w:sz w:val="32"/>
          <w:szCs w:val="32"/>
          <w:highlight w:val="none"/>
          <w:lang w:val="en-US" w:eastAsia="zh-CN"/>
        </w:rPr>
        <w:t>13.</w:t>
      </w:r>
      <w:r>
        <w:rPr>
          <w:rFonts w:ascii="仿宋" w:hAnsi="仿宋" w:eastAsia="仿宋"/>
          <w:spacing w:val="10"/>
          <w:sz w:val="32"/>
          <w:szCs w:val="32"/>
          <w:highlight w:val="none"/>
        </w:rPr>
        <w:t>在具体承担数据基础制度建设、数据要素市场建设、 数据地方标准和行业技术规范建立、数据基础设施建设等职责 中，履行相应数据安全职责，拟订并组织实施相关数据安全措施</w:t>
      </w:r>
      <w:r>
        <w:rPr>
          <w:rFonts w:ascii="仿宋" w:hAnsi="仿宋" w:eastAsia="仿宋"/>
          <w:spacing w:val="-4"/>
          <w:sz w:val="32"/>
          <w:szCs w:val="32"/>
          <w:highlight w:val="none"/>
        </w:rPr>
        <w:t>。</w:t>
      </w:r>
      <w:r>
        <w:rPr>
          <w:rFonts w:ascii="仿宋" w:hAnsi="仿宋" w:eastAsia="仿宋"/>
          <w:spacing w:val="14"/>
          <w:sz w:val="32"/>
          <w:szCs w:val="32"/>
          <w:highlight w:val="none"/>
        </w:rPr>
        <w:t>协同县委网络安全和信息化委员会办公室开</w:t>
      </w:r>
      <w:r>
        <w:rPr>
          <w:rFonts w:ascii="仿宋" w:hAnsi="仿宋" w:eastAsia="仿宋"/>
          <w:spacing w:val="13"/>
          <w:sz w:val="32"/>
          <w:szCs w:val="32"/>
          <w:highlight w:val="none"/>
        </w:rPr>
        <w:t>展网络数据跨境流</w:t>
      </w:r>
      <w:r>
        <w:rPr>
          <w:rFonts w:ascii="仿宋" w:hAnsi="仿宋" w:eastAsia="仿宋"/>
          <w:spacing w:val="1"/>
          <w:sz w:val="32"/>
          <w:szCs w:val="32"/>
          <w:highlight w:val="none"/>
        </w:rPr>
        <w:t>动安全评估和监管工作。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商务局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３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３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局长１名，副局长２名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   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在职实有人数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３名，其中：局长１名（正科级），副局长２名（副科级２名），四级主任科员０名，科员０名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；下设供销合作社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等职能科室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经济和信息化局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449.28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449.28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449.28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157.04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298.8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449.28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449.28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455.84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139.65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134.94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4.71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17.39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17.39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1923BB3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1DC00E5F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D360AA5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2025-10-17T08:52:57Z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