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巴青县玛如乡人民政府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巴青县玛如乡人民政府概况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巴青县玛如乡人民政府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巴青县玛如乡人民政府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巴青县玛如乡人民政府概况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巴青县玛如乡人民政府纳入本部门预算汇编范围的独立核算单位共1个。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我乡政府贯彻落实党中央、国务院方针政策和自治区党委、政府以及市委、市政府和县委、县政府决策部署，在履行职责过程中坚持和加强县委、县政府对县政府办公室工作的统一领导。巴青县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玛如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乡的主要职责：一是负责制定并执行本乡经济和社会发展规划、预算，指导产业结构调整，促进经济发展，增加群众收入。负责本乡市场秩序监管，营造公平环境，同时提供经济信息等服务，引导企业和牧户发展生产。负责教育、科技、文化、卫生健康、体育、计划生育等社会事业工作，提高公共服务水平。负责落实社会保障政策，做好社会救助、养老服务、残疾人事业等工作，保障困难群众基本生活。负责本乡自然资源保护和监管，加强生态环境保护，推进农村人居环境整治，建设美丽乡村。负责本乡统计工作，收集、整理和上报各类统计数据，提供信息服务。负责本乡干部的教育、培训、管理和监督工作，提高干部队伍素质。二是组织维护社会稳定，加强社会治安综合治理，化解矛盾纠纷，处理突发事件，保障人民群众生命财产安全并加强乡党委、政府自身建设，指导村委会等基层群众性自治组织建设，推进基层民主政治建设。领导本乡的基层党组织、共青团、妇联等群众组织，支持和保障其依照法律和各自章程开展工作。三是贯彻执行党和国家的方针、政策、法律法规，执行上级政府的决定和命令，发布行政决定和命令，确保基层治理沿着正确方向推进。承办上级人民政府交办的其他事项，确保政令畅通，各项工作落实到位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>巴青县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eastAsia="zh-CN"/>
        </w:rPr>
        <w:t>玛如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乡机关行政编制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名，部门领导职数2名，党委书记1名，党委副书记、乡长1名。</w:t>
      </w:r>
    </w:p>
    <w:p>
      <w:pPr>
        <w:spacing w:line="576" w:lineRule="exact"/>
        <w:rPr>
          <w:rFonts w:ascii="方正仿宋_GBK" w:hAnsi="方正仿宋_GBK" w:eastAsia="方正仿宋_GBK" w:cs="方正仿宋_GBK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</w:rPr>
        <w:t xml:space="preserve">    现在在职实有人数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54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名，其中：正科级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名，副科级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名，四级主任科员3名，科员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szCs w:val="32"/>
          <w:highlight w:val="none"/>
        </w:rPr>
        <w:t>名；下设党政办、农牧办、财务室、卫生院等职能科室。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巴青县玛如乡人民政府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巴青县玛如乡人民政府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322.11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5,065.23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政府性基金预算财政拨款收入99.69，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5,164.92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5,164.92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2,640.08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2,846.95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322.11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5,164.92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5,065.23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99.69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5,387.34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99.69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5,487.03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17.93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其中，公务用车购置及运行维护费17.93万元。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2,503.5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2,040.01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463.49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136.58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府后勤管理。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350380E"/>
    <w:rsid w:val="580D5BA1"/>
    <w:rsid w:val="58744E8B"/>
    <w:rsid w:val="5EB25DC0"/>
    <w:rsid w:val="626C747B"/>
    <w:rsid w:val="65223CA6"/>
    <w:rsid w:val="65BD4A8A"/>
    <w:rsid w:val="67E0314A"/>
    <w:rsid w:val="694679D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1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2025-10-17T08:06:28Z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