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highlight w:val="none"/>
          <w:u w:val="none"/>
        </w:rPr>
      </w:pPr>
      <w:r>
        <w:rPr>
          <w:rFonts w:hint="default" w:ascii="Times New Roman" w:hAnsi="Times New Roman" w:eastAsia="方正小标宋_GBK" w:cs="Times New Roman"/>
          <w:sz w:val="44"/>
          <w:szCs w:val="44"/>
          <w:highlight w:val="none"/>
          <w:u w:val="none"/>
        </w:rPr>
        <w:t>巴青县</w:t>
      </w:r>
      <w:r>
        <w:rPr>
          <w:rFonts w:hint="default" w:ascii="Times New Roman" w:hAnsi="Times New Roman" w:eastAsia="方正小标宋_GBK" w:cs="Times New Roman"/>
          <w:sz w:val="44"/>
          <w:szCs w:val="44"/>
          <w:highlight w:val="none"/>
          <w:u w:val="none"/>
          <w:lang w:val="en-US" w:eastAsia="zh-CN"/>
        </w:rPr>
        <w:t>民政局</w:t>
      </w:r>
      <w:r>
        <w:rPr>
          <w:rFonts w:hint="default" w:ascii="Times New Roman" w:hAnsi="Times New Roman" w:eastAsia="方正小标宋_GBK" w:cs="Times New Roman"/>
          <w:sz w:val="44"/>
          <w:szCs w:val="44"/>
          <w:highlight w:val="none"/>
          <w:u w:val="none"/>
          <w:lang w:eastAsia="zh-CN"/>
        </w:rPr>
        <w:t>202</w:t>
      </w:r>
      <w:r>
        <w:rPr>
          <w:rFonts w:hint="default" w:ascii="Times New Roman" w:hAnsi="Times New Roman" w:eastAsia="方正小标宋_GBK" w:cs="Times New Roman"/>
          <w:sz w:val="44"/>
          <w:szCs w:val="44"/>
          <w:highlight w:val="none"/>
          <w:u w:val="none"/>
          <w:lang w:val="en-US" w:eastAsia="zh-CN"/>
        </w:rPr>
        <w:t>4</w:t>
      </w:r>
      <w:r>
        <w:rPr>
          <w:rFonts w:hint="default" w:ascii="Times New Roman" w:hAnsi="Times New Roman" w:eastAsia="方正小标宋_GBK" w:cs="Times New Roman"/>
          <w:sz w:val="44"/>
          <w:szCs w:val="44"/>
          <w:highlight w:val="none"/>
          <w:u w:val="none"/>
        </w:rPr>
        <w:t>年度部门决算</w:t>
      </w:r>
    </w:p>
    <w:p>
      <w:pPr>
        <w:spacing w:line="576" w:lineRule="exact"/>
        <w:jc w:val="center"/>
        <w:rPr>
          <w:rFonts w:hint="default" w:ascii="Times New Roman" w:hAnsi="Times New Roman" w:eastAsia="方正仿宋简体" w:cs="Times New Roman"/>
          <w:b/>
          <w:szCs w:val="32"/>
          <w:highlight w:val="none"/>
          <w:u w:val="none"/>
        </w:rPr>
      </w:pPr>
      <w:r>
        <w:rPr>
          <w:rFonts w:hint="default" w:ascii="Times New Roman" w:hAnsi="Times New Roman" w:eastAsia="方正仿宋_GBK" w:cs="Times New Roman"/>
          <w:b/>
          <w:szCs w:val="32"/>
          <w:highlight w:val="none"/>
          <w:u w:val="none"/>
        </w:rPr>
        <w:t>目  录</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第一部分  巴青县</w:t>
      </w:r>
      <w:r>
        <w:rPr>
          <w:rFonts w:hint="default" w:ascii="Times New Roman" w:hAnsi="Times New Roman" w:eastAsia="黑体" w:cs="Times New Roman"/>
          <w:b w:val="0"/>
          <w:bCs/>
          <w:szCs w:val="32"/>
          <w:highlight w:val="none"/>
          <w:u w:val="none"/>
          <w:lang w:val="en-US" w:eastAsia="zh-CN"/>
        </w:rPr>
        <w:t>民政局</w:t>
      </w:r>
      <w:r>
        <w:rPr>
          <w:rFonts w:hint="default" w:ascii="Times New Roman" w:hAnsi="Times New Roman" w:eastAsia="黑体" w:cs="Times New Roman"/>
          <w:b w:val="0"/>
          <w:bCs/>
          <w:szCs w:val="32"/>
          <w:highlight w:val="none"/>
          <w:u w:val="none"/>
        </w:rPr>
        <w:t>概况</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二、部门职责和机构设置</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第二部分  巴青县</w:t>
      </w:r>
      <w:r>
        <w:rPr>
          <w:rFonts w:hint="default" w:ascii="Times New Roman" w:hAnsi="Times New Roman" w:eastAsia="黑体" w:cs="Times New Roman"/>
          <w:b w:val="0"/>
          <w:bCs/>
          <w:szCs w:val="32"/>
          <w:highlight w:val="none"/>
          <w:u w:val="none"/>
          <w:lang w:val="en-US" w:eastAsia="zh-CN"/>
        </w:rPr>
        <w:t>民政局</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年度部门决算表（见附表1）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第三部分  巴青县</w:t>
      </w:r>
      <w:r>
        <w:rPr>
          <w:rFonts w:hint="default" w:ascii="Times New Roman" w:hAnsi="Times New Roman" w:eastAsia="黑体" w:cs="Times New Roman"/>
          <w:b w:val="0"/>
          <w:bCs/>
          <w:szCs w:val="32"/>
          <w:highlight w:val="none"/>
          <w:u w:val="none"/>
          <w:lang w:val="en-US" w:eastAsia="zh-CN"/>
        </w:rPr>
        <w:t>民政局</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w:t>
      </w:r>
      <w:r>
        <w:rPr>
          <w:rFonts w:hint="default" w:ascii="Times New Roman" w:hAnsi="Times New Roman" w:eastAsia="方正楷体简体" w:cs="Times New Roman"/>
          <w:szCs w:val="32"/>
          <w:highlight w:val="none"/>
          <w:u w:val="none"/>
          <w:lang w:eastAsia="zh-CN"/>
        </w:rPr>
        <w:t>、</w:t>
      </w:r>
      <w:r>
        <w:rPr>
          <w:rFonts w:hint="default" w:ascii="Times New Roman" w:hAnsi="Times New Roman" w:eastAsia="方正楷体简体" w:cs="Times New Roman"/>
          <w:szCs w:val="32"/>
          <w:highlight w:val="none"/>
          <w:u w:val="none"/>
        </w:rPr>
        <w:t>重点、重大项目信息</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第四部分  名词解释</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第一部分 巴青县</w:t>
      </w:r>
      <w:r>
        <w:rPr>
          <w:rFonts w:hint="default" w:ascii="Times New Roman" w:hAnsi="Times New Roman" w:eastAsia="黑体" w:cs="Times New Roman"/>
          <w:b w:val="0"/>
          <w:bCs w:val="0"/>
          <w:szCs w:val="32"/>
          <w:highlight w:val="none"/>
          <w:u w:val="none"/>
          <w:lang w:val="en-US" w:eastAsia="zh-CN"/>
        </w:rPr>
        <w:t>民政局</w:t>
      </w:r>
      <w:r>
        <w:rPr>
          <w:rFonts w:hint="default" w:ascii="Times New Roman" w:hAnsi="Times New Roman" w:eastAsia="黑体" w:cs="Times New Roman"/>
          <w:b w:val="0"/>
          <w:bCs w:val="0"/>
          <w:szCs w:val="32"/>
          <w:highlight w:val="none"/>
          <w:u w:val="none"/>
        </w:rPr>
        <w:t>概况</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巴青县</w:t>
      </w:r>
      <w:r>
        <w:rPr>
          <w:rFonts w:hint="default" w:ascii="Times New Roman" w:hAnsi="Times New Roman" w:eastAsia="方正仿宋_GBK" w:cs="Times New Roman"/>
          <w:szCs w:val="32"/>
          <w:highlight w:val="none"/>
          <w:u w:val="none"/>
          <w:lang w:val="en-US" w:eastAsia="zh-CN"/>
        </w:rPr>
        <w:t>民政局</w:t>
      </w:r>
      <w:r>
        <w:rPr>
          <w:rFonts w:hint="default" w:ascii="Times New Roman" w:hAnsi="Times New Roman" w:eastAsia="方正仿宋_GBK" w:cs="Times New Roman"/>
          <w:szCs w:val="32"/>
          <w:highlight w:val="none"/>
          <w:u w:val="none"/>
        </w:rPr>
        <w:t>纳入本部门预算汇编范围的独立核算单位共1个。</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二、</w:t>
      </w:r>
      <w:r>
        <w:rPr>
          <w:rFonts w:hint="default" w:ascii="Times New Roman" w:hAnsi="Times New Roman" w:eastAsia="方正楷体简体" w:cs="Times New Roman"/>
          <w:szCs w:val="32"/>
          <w:highlight w:val="none"/>
          <w:u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（一）部门职责</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主要职能：</w:t>
      </w:r>
    </w:p>
    <w:p>
      <w:pPr>
        <w:spacing w:line="540" w:lineRule="exact"/>
        <w:ind w:firstLine="620" w:firstLineChars="196"/>
        <w:rPr>
          <w:rFonts w:ascii="仿宋" w:hAnsi="仿宋" w:eastAsia="仿宋" w:cs="仿宋"/>
          <w:sz w:val="32"/>
          <w:highlight w:val="none"/>
        </w:rPr>
      </w:pPr>
      <w:r>
        <w:rPr>
          <w:rFonts w:hint="eastAsia" w:ascii="仿宋" w:hAnsi="仿宋" w:eastAsia="仿宋" w:cs="仿宋"/>
          <w:sz w:val="32"/>
          <w:highlight w:val="none"/>
        </w:rPr>
        <w:t>巴青县民政局是县政府组成部门，为正科级。</w:t>
      </w:r>
    </w:p>
    <w:p>
      <w:pPr>
        <w:spacing w:line="540" w:lineRule="exact"/>
        <w:ind w:firstLine="620" w:firstLineChars="196"/>
        <w:rPr>
          <w:rFonts w:ascii="仿宋" w:hAnsi="仿宋" w:eastAsia="仿宋" w:cs="仿宋"/>
          <w:sz w:val="32"/>
          <w:highlight w:val="none"/>
        </w:rPr>
      </w:pPr>
      <w:r>
        <w:rPr>
          <w:rFonts w:hint="eastAsia" w:ascii="仿宋" w:hAnsi="仿宋" w:eastAsia="仿宋" w:cs="仿宋"/>
          <w:sz w:val="32"/>
          <w:highlight w:val="none"/>
        </w:rPr>
        <w:t>县民政局贯彻落实党中央关于民政工作的方针政策和自治区党委、市委和县委的决策部署，在履行职责过程中坚持和加强县委对民政工作的统一领导。主要职责是：</w:t>
      </w:r>
    </w:p>
    <w:p>
      <w:pPr>
        <w:spacing w:line="540" w:lineRule="exact"/>
        <w:ind w:firstLine="632" w:firstLineChars="200"/>
        <w:rPr>
          <w:rFonts w:ascii="仿宋" w:hAnsi="仿宋" w:eastAsia="仿宋" w:cs="仿宋"/>
          <w:sz w:val="32"/>
          <w:highlight w:val="none"/>
        </w:rPr>
      </w:pPr>
      <w:r>
        <w:rPr>
          <w:rFonts w:hint="eastAsia" w:ascii="仿宋" w:hAnsi="仿宋" w:eastAsia="仿宋" w:cs="仿宋"/>
          <w:sz w:val="32"/>
          <w:highlight w:val="none"/>
          <w:lang w:val="en-US" w:eastAsia="zh-CN"/>
        </w:rPr>
        <w:t>1.</w:t>
      </w:r>
      <w:r>
        <w:rPr>
          <w:rFonts w:hint="eastAsia" w:ascii="仿宋" w:hAnsi="仿宋" w:eastAsia="仿宋" w:cs="仿宋"/>
          <w:sz w:val="32"/>
          <w:highlight w:val="none"/>
        </w:rPr>
        <w:t>贯彻执行国家关于民政工作的法律法规，参与起草民政事业发展的地方性法规和政府规章草案，拟订全县民政事业发展规划和政策并组织实施。</w:t>
      </w:r>
    </w:p>
    <w:p>
      <w:pPr>
        <w:spacing w:line="540" w:lineRule="exact"/>
        <w:ind w:firstLine="632" w:firstLineChars="200"/>
        <w:rPr>
          <w:rFonts w:ascii="仿宋" w:hAnsi="仿宋" w:eastAsia="仿宋" w:cs="仿宋"/>
          <w:sz w:val="32"/>
          <w:highlight w:val="none"/>
        </w:rPr>
      </w:pPr>
      <w:r>
        <w:rPr>
          <w:rFonts w:hint="eastAsia" w:ascii="仿宋" w:hAnsi="仿宋" w:eastAsia="仿宋" w:cs="仿宋"/>
          <w:sz w:val="32"/>
          <w:highlight w:val="none"/>
          <w:lang w:val="en-US" w:eastAsia="zh-CN"/>
        </w:rPr>
        <w:t>2.</w:t>
      </w:r>
      <w:r>
        <w:rPr>
          <w:rFonts w:hint="eastAsia" w:ascii="仿宋" w:hAnsi="仿宋" w:eastAsia="仿宋" w:cs="仿宋"/>
          <w:sz w:val="32"/>
          <w:highlight w:val="none"/>
        </w:rPr>
        <w:t>参与拟订社会团体、基金会、社会服务机构等社会组织登记和监督管理办法，负责依法对社会团体、基金会、社会服务机构等社会组织登记管理和执法监督。</w:t>
      </w:r>
    </w:p>
    <w:p>
      <w:pPr>
        <w:spacing w:line="540" w:lineRule="exact"/>
        <w:ind w:firstLine="632" w:firstLineChars="200"/>
        <w:rPr>
          <w:rFonts w:ascii="仿宋" w:hAnsi="仿宋" w:eastAsia="仿宋" w:cs="仿宋"/>
          <w:sz w:val="32"/>
          <w:highlight w:val="none"/>
        </w:rPr>
      </w:pPr>
      <w:r>
        <w:rPr>
          <w:rFonts w:hint="eastAsia" w:ascii="仿宋" w:hAnsi="仿宋" w:eastAsia="仿宋" w:cs="仿宋"/>
          <w:sz w:val="32"/>
          <w:highlight w:val="none"/>
          <w:lang w:val="en-US" w:eastAsia="zh-CN"/>
        </w:rPr>
        <w:t>3.</w:t>
      </w:r>
      <w:r>
        <w:rPr>
          <w:rFonts w:hint="eastAsia" w:ascii="仿宋" w:hAnsi="仿宋" w:eastAsia="仿宋" w:cs="仿宋"/>
          <w:sz w:val="32"/>
          <w:highlight w:val="none"/>
        </w:rPr>
        <w:t>参与拟订全县社会救助政策和标准，统筹城乡社会救助体系建设，负责城乡居民最低生活保障、特困人员救助供养、临时救助、生活无着流浪乞讨人员救助工作。指导申请社会救助居民家庭经济状况信息核对工作。</w:t>
      </w:r>
    </w:p>
    <w:p>
      <w:pPr>
        <w:spacing w:line="540" w:lineRule="exact"/>
        <w:ind w:firstLine="632" w:firstLineChars="200"/>
        <w:rPr>
          <w:rFonts w:ascii="仿宋" w:hAnsi="仿宋" w:eastAsia="仿宋" w:cs="仿宋"/>
          <w:sz w:val="32"/>
          <w:highlight w:val="none"/>
        </w:rPr>
      </w:pPr>
      <w:r>
        <w:rPr>
          <w:rFonts w:hint="eastAsia" w:ascii="仿宋" w:hAnsi="仿宋" w:eastAsia="仿宋" w:cs="仿宋"/>
          <w:sz w:val="32"/>
          <w:highlight w:val="none"/>
          <w:lang w:val="en-US" w:eastAsia="zh-CN"/>
        </w:rPr>
        <w:t>4.</w:t>
      </w:r>
      <w:r>
        <w:rPr>
          <w:rFonts w:hint="eastAsia" w:ascii="仿宋" w:hAnsi="仿宋" w:eastAsia="仿宋" w:cs="仿宋"/>
          <w:sz w:val="32"/>
          <w:highlight w:val="none"/>
        </w:rPr>
        <w:t>负责指导基层群众自治和城乡社区治理工作，指导城乡社区治理体系和治理能力建设，提出加强和改进城乡基层政权建设的建议，推动基层民主政治建设。</w:t>
      </w:r>
    </w:p>
    <w:p>
      <w:pPr>
        <w:spacing w:line="540" w:lineRule="exact"/>
        <w:ind w:firstLine="632" w:firstLineChars="200"/>
        <w:rPr>
          <w:rFonts w:ascii="仿宋" w:hAnsi="仿宋" w:eastAsia="仿宋" w:cs="仿宋"/>
          <w:sz w:val="32"/>
          <w:highlight w:val="none"/>
        </w:rPr>
      </w:pPr>
      <w:r>
        <w:rPr>
          <w:rFonts w:hint="eastAsia" w:ascii="仿宋" w:hAnsi="仿宋" w:eastAsia="仿宋" w:cs="仿宋"/>
          <w:sz w:val="32"/>
          <w:highlight w:val="none"/>
          <w:lang w:val="en-US" w:eastAsia="zh-CN"/>
        </w:rPr>
        <w:t>5.</w:t>
      </w:r>
      <w:r>
        <w:rPr>
          <w:rFonts w:hint="eastAsia" w:ascii="仿宋" w:hAnsi="仿宋" w:eastAsia="仿宋" w:cs="仿宋"/>
          <w:sz w:val="32"/>
          <w:highlight w:val="none"/>
        </w:rPr>
        <w:t>负责行政区划、行政区域界限管理和地名管理。指导全县行政区域界线的勘定和管理工作，负责全县地名标志的设置、管理以及标准地名图书资料的编纂和审核工作，负责行攻区划调整的审核工作。</w:t>
      </w:r>
    </w:p>
    <w:p>
      <w:pPr>
        <w:spacing w:line="540" w:lineRule="exact"/>
        <w:rPr>
          <w:rFonts w:ascii="仿宋" w:hAnsi="仿宋" w:eastAsia="仿宋" w:cs="仿宋"/>
          <w:sz w:val="32"/>
          <w:highlight w:val="none"/>
        </w:rPr>
      </w:pPr>
      <w:r>
        <w:rPr>
          <w:rFonts w:hint="eastAsia" w:ascii="仿宋" w:hAnsi="仿宋" w:eastAsia="仿宋" w:cs="仿宋"/>
          <w:sz w:val="32"/>
          <w:highlight w:val="none"/>
        </w:rPr>
        <w:t xml:space="preserve">    </w:t>
      </w:r>
      <w:r>
        <w:rPr>
          <w:rFonts w:hint="eastAsia" w:ascii="仿宋" w:hAnsi="仿宋" w:eastAsia="仿宋" w:cs="仿宋"/>
          <w:sz w:val="32"/>
          <w:highlight w:val="none"/>
          <w:lang w:val="en-US" w:eastAsia="zh-CN"/>
        </w:rPr>
        <w:t>6.</w:t>
      </w:r>
      <w:r>
        <w:rPr>
          <w:rFonts w:hint="eastAsia" w:ascii="仿宋" w:hAnsi="仿宋" w:eastAsia="仿宋" w:cs="仿宋"/>
          <w:sz w:val="32"/>
          <w:highlight w:val="none"/>
        </w:rPr>
        <w:t>负责婚姻登记管理工作，推进婚俗改革。</w:t>
      </w:r>
    </w:p>
    <w:p>
      <w:pPr>
        <w:spacing w:line="540" w:lineRule="exact"/>
        <w:ind w:firstLine="632" w:firstLineChars="200"/>
        <w:rPr>
          <w:rFonts w:ascii="仿宋" w:hAnsi="仿宋" w:eastAsia="仿宋" w:cs="仿宋"/>
          <w:sz w:val="32"/>
          <w:highlight w:val="none"/>
        </w:rPr>
      </w:pPr>
      <w:r>
        <w:rPr>
          <w:rFonts w:hint="eastAsia" w:ascii="仿宋" w:hAnsi="仿宋" w:eastAsia="仿宋" w:cs="仿宋"/>
          <w:sz w:val="32"/>
          <w:highlight w:val="none"/>
          <w:lang w:val="en-US" w:eastAsia="zh-CN"/>
        </w:rPr>
        <w:t>7.</w:t>
      </w:r>
      <w:r>
        <w:rPr>
          <w:rFonts w:hint="eastAsia" w:ascii="仿宋" w:hAnsi="仿宋" w:eastAsia="仿宋" w:cs="仿宋"/>
          <w:sz w:val="32"/>
          <w:highlight w:val="none"/>
        </w:rPr>
        <w:t>负责殡葬管理工作，参与拟订全县殡葬管理政策、服务规范并组织实施，推进殡葬改革。</w:t>
      </w:r>
    </w:p>
    <w:p>
      <w:pPr>
        <w:spacing w:line="540" w:lineRule="exact"/>
        <w:ind w:firstLine="632" w:firstLineChars="200"/>
        <w:rPr>
          <w:rFonts w:ascii="仿宋" w:hAnsi="仿宋" w:eastAsia="仿宋" w:cs="仿宋"/>
          <w:sz w:val="32"/>
          <w:highlight w:val="none"/>
        </w:rPr>
      </w:pPr>
      <w:r>
        <w:rPr>
          <w:rFonts w:hint="eastAsia" w:ascii="仿宋" w:hAnsi="仿宋" w:eastAsia="仿宋" w:cs="仿宋"/>
          <w:sz w:val="32"/>
          <w:highlight w:val="none"/>
          <w:lang w:val="en-US" w:eastAsia="zh-CN"/>
        </w:rPr>
        <w:t>8.</w:t>
      </w:r>
      <w:r>
        <w:rPr>
          <w:rFonts w:hint="eastAsia" w:ascii="仿宋" w:hAnsi="仿宋" w:eastAsia="仿宋" w:cs="仿宋"/>
          <w:sz w:val="32"/>
          <w:highlight w:val="none"/>
        </w:rPr>
        <w:t>统筹推进、督促指导、监督管理养老服务工作，拟订全县养老服务体系建设规划、政策和标准并组织实施，承担老年人福利和特殊困难老年人救助工作。</w:t>
      </w:r>
    </w:p>
    <w:p>
      <w:pPr>
        <w:spacing w:line="540" w:lineRule="exact"/>
        <w:ind w:firstLine="632" w:firstLineChars="200"/>
        <w:rPr>
          <w:rFonts w:ascii="仿宋" w:hAnsi="仿宋" w:eastAsia="仿宋" w:cs="仿宋"/>
          <w:sz w:val="32"/>
          <w:highlight w:val="none"/>
        </w:rPr>
      </w:pPr>
      <w:r>
        <w:rPr>
          <w:rFonts w:hint="eastAsia" w:ascii="仿宋" w:hAnsi="仿宋" w:eastAsia="仿宋" w:cs="仿宋"/>
          <w:sz w:val="32"/>
          <w:highlight w:val="none"/>
          <w:lang w:val="en-US" w:eastAsia="zh-CN"/>
        </w:rPr>
        <w:t>9.</w:t>
      </w:r>
      <w:r>
        <w:rPr>
          <w:rFonts w:hint="eastAsia" w:ascii="仿宋" w:hAnsi="仿宋" w:eastAsia="仿宋" w:cs="仿宋"/>
          <w:sz w:val="32"/>
          <w:highlight w:val="none"/>
        </w:rPr>
        <w:t>指导残疾人等特殊困难群体权益保护工作，统筹推进残疾人福利制度建设和康复辅助器具产业发展。</w:t>
      </w:r>
    </w:p>
    <w:p>
      <w:pPr>
        <w:spacing w:line="540" w:lineRule="exact"/>
        <w:ind w:firstLine="632" w:firstLineChars="200"/>
        <w:rPr>
          <w:rFonts w:ascii="仿宋" w:hAnsi="仿宋" w:eastAsia="仿宋" w:cs="仿宋"/>
          <w:sz w:val="32"/>
          <w:highlight w:val="none"/>
        </w:rPr>
      </w:pPr>
      <w:r>
        <w:rPr>
          <w:rFonts w:hint="eastAsia" w:ascii="仿宋" w:hAnsi="仿宋" w:eastAsia="仿宋" w:cs="仿宋"/>
          <w:sz w:val="32"/>
          <w:highlight w:val="none"/>
          <w:lang w:val="en-US" w:eastAsia="zh-CN"/>
        </w:rPr>
        <w:t>10.</w:t>
      </w:r>
      <w:r>
        <w:rPr>
          <w:rFonts w:hint="eastAsia" w:ascii="仿宋" w:hAnsi="仿宋" w:eastAsia="仿宋" w:cs="仿宋"/>
          <w:sz w:val="32"/>
          <w:highlight w:val="none"/>
        </w:rPr>
        <w:t>参与拟订全县儿童福利、孤弃儿童保障、儿童收养、儿童救助保护的政策、标准，承担农村留守儿童关爱服务体系和困境儿童保障工作。</w:t>
      </w:r>
    </w:p>
    <w:p>
      <w:pPr>
        <w:spacing w:line="540" w:lineRule="exact"/>
        <w:ind w:firstLine="632" w:firstLineChars="200"/>
        <w:rPr>
          <w:rFonts w:ascii="仿宋" w:hAnsi="仿宋" w:eastAsia="仿宋" w:cs="仿宋"/>
          <w:sz w:val="32"/>
          <w:highlight w:val="none"/>
        </w:rPr>
      </w:pPr>
      <w:r>
        <w:rPr>
          <w:rFonts w:hint="eastAsia" w:ascii="仿宋" w:hAnsi="仿宋" w:eastAsia="仿宋" w:cs="仿宋"/>
          <w:sz w:val="32"/>
          <w:highlight w:val="none"/>
          <w:lang w:val="en-US" w:eastAsia="zh-CN"/>
        </w:rPr>
        <w:t>11.</w:t>
      </w:r>
      <w:r>
        <w:rPr>
          <w:rFonts w:hint="eastAsia" w:ascii="仿宋" w:hAnsi="仿宋" w:eastAsia="仿宋" w:cs="仿宋"/>
          <w:sz w:val="32"/>
          <w:highlight w:val="none"/>
        </w:rPr>
        <w:t>参与拟订促进全县慈善事业发展政策，指导社会捐助工作，负责福利彩票发行管理工作。</w:t>
      </w:r>
    </w:p>
    <w:p>
      <w:pPr>
        <w:spacing w:line="540" w:lineRule="exact"/>
        <w:ind w:firstLine="632" w:firstLineChars="200"/>
        <w:rPr>
          <w:rFonts w:ascii="仿宋" w:hAnsi="仿宋" w:eastAsia="仿宋" w:cs="仿宋"/>
          <w:sz w:val="32"/>
          <w:highlight w:val="none"/>
        </w:rPr>
      </w:pPr>
      <w:r>
        <w:rPr>
          <w:rFonts w:hint="eastAsia" w:ascii="仿宋" w:hAnsi="仿宋" w:eastAsia="仿宋" w:cs="仿宋"/>
          <w:sz w:val="32"/>
          <w:highlight w:val="none"/>
          <w:lang w:val="en-US" w:eastAsia="zh-CN"/>
        </w:rPr>
        <w:t>12.</w:t>
      </w:r>
      <w:r>
        <w:rPr>
          <w:rFonts w:hint="eastAsia" w:ascii="仿宋" w:hAnsi="仿宋" w:eastAsia="仿宋" w:cs="仿宋"/>
          <w:sz w:val="32"/>
          <w:highlight w:val="none"/>
        </w:rPr>
        <w:t>会同有关部门拟订全县社会工作、志愿服务规划、政策，推进社会工作人才队伍建设和志愿者队伍建设。</w:t>
      </w:r>
    </w:p>
    <w:p>
      <w:pPr>
        <w:spacing w:line="540" w:lineRule="exact"/>
        <w:ind w:firstLine="632" w:firstLineChars="200"/>
        <w:rPr>
          <w:rFonts w:ascii="仿宋" w:hAnsi="仿宋" w:eastAsia="仿宋" w:cs="仿宋"/>
          <w:sz w:val="32"/>
          <w:highlight w:val="none"/>
        </w:rPr>
      </w:pPr>
      <w:r>
        <w:rPr>
          <w:rFonts w:hint="eastAsia" w:ascii="仿宋" w:hAnsi="仿宋" w:eastAsia="仿宋" w:cs="仿宋"/>
          <w:sz w:val="32"/>
          <w:highlight w:val="none"/>
          <w:lang w:val="en-US" w:eastAsia="zh-CN"/>
        </w:rPr>
        <w:t>13.</w:t>
      </w:r>
      <w:r>
        <w:rPr>
          <w:rFonts w:hint="eastAsia" w:ascii="仿宋" w:hAnsi="仿宋" w:eastAsia="仿宋" w:cs="仿宋"/>
          <w:sz w:val="32"/>
          <w:highlight w:val="none"/>
        </w:rPr>
        <w:t>参与拟订全县关心下一代工作发展规划和政策并组织实施。</w:t>
      </w:r>
    </w:p>
    <w:p>
      <w:pPr>
        <w:spacing w:line="540" w:lineRule="exact"/>
        <w:ind w:firstLine="730" w:firstLineChars="231"/>
        <w:rPr>
          <w:rFonts w:ascii="仿宋" w:hAnsi="仿宋" w:eastAsia="仿宋" w:cs="仿宋"/>
          <w:sz w:val="32"/>
          <w:highlight w:val="none"/>
        </w:rPr>
      </w:pPr>
      <w:r>
        <w:rPr>
          <w:rFonts w:hint="eastAsia" w:ascii="仿宋" w:hAnsi="仿宋" w:eastAsia="仿宋" w:cs="仿宋"/>
          <w:sz w:val="32"/>
          <w:highlight w:val="none"/>
          <w:lang w:val="en-US" w:eastAsia="zh-CN"/>
        </w:rPr>
        <w:t>14.</w:t>
      </w:r>
      <w:r>
        <w:rPr>
          <w:rFonts w:hint="eastAsia" w:ascii="仿宋" w:hAnsi="仿宋" w:eastAsia="仿宋" w:cs="仿宋"/>
          <w:sz w:val="32"/>
          <w:highlight w:val="none"/>
        </w:rPr>
        <w:t>负责本行业领域安全生产监督管理和应急处置工作。</w:t>
      </w:r>
    </w:p>
    <w:p>
      <w:pPr>
        <w:spacing w:line="540" w:lineRule="exact"/>
        <w:ind w:firstLine="632" w:firstLineChars="200"/>
        <w:rPr>
          <w:rFonts w:ascii="仿宋" w:hAnsi="仿宋" w:eastAsia="仿宋" w:cs="仿宋"/>
          <w:sz w:val="32"/>
          <w:highlight w:val="none"/>
        </w:rPr>
      </w:pPr>
      <w:r>
        <w:rPr>
          <w:rFonts w:hint="eastAsia" w:ascii="仿宋" w:hAnsi="仿宋" w:eastAsia="仿宋" w:cs="仿宋"/>
          <w:sz w:val="32"/>
          <w:highlight w:val="none"/>
          <w:lang w:val="en-US" w:eastAsia="zh-CN"/>
        </w:rPr>
        <w:t>15.</w:t>
      </w:r>
      <w:r>
        <w:rPr>
          <w:rFonts w:hint="eastAsia" w:ascii="仿宋" w:hAnsi="仿宋" w:eastAsia="仿宋" w:cs="仿宋"/>
          <w:sz w:val="32"/>
          <w:highlight w:val="none"/>
        </w:rPr>
        <w:t>完成县委、县政府交办的其他任务。</w:t>
      </w:r>
    </w:p>
    <w:p>
      <w:pPr>
        <w:spacing w:line="540" w:lineRule="exact"/>
        <w:ind w:firstLine="632" w:firstLineChars="200"/>
        <w:rPr>
          <w:rFonts w:ascii="仿宋" w:hAnsi="仿宋" w:eastAsia="仿宋" w:cs="仿宋"/>
          <w:sz w:val="32"/>
          <w:highlight w:val="none"/>
        </w:rPr>
      </w:pPr>
      <w:r>
        <w:rPr>
          <w:rFonts w:hint="eastAsia" w:ascii="仿宋" w:hAnsi="仿宋" w:eastAsia="仿宋" w:cs="仿宋"/>
          <w:sz w:val="32"/>
          <w:highlight w:val="none"/>
          <w:lang w:val="en-US" w:eastAsia="zh-CN"/>
        </w:rPr>
        <w:t>16.</w:t>
      </w:r>
      <w:r>
        <w:rPr>
          <w:rFonts w:hint="eastAsia" w:ascii="仿宋" w:hAnsi="仿宋" w:eastAsia="仿宋" w:cs="仿宋"/>
          <w:sz w:val="32"/>
          <w:highlight w:val="none"/>
        </w:rPr>
        <w:t>职能转变。县民政局应坚持以人民为中心，强化基本民生保障职能，为困难群众、孤老孤残孤儿等特殊群体提供基本社会服务，完善基层社会治理方式。积极培育社会组织、社会工作者等多元参与主体，推动搭建基层社区治理和社区公共服务平台。</w:t>
      </w:r>
    </w:p>
    <w:p>
      <w:pPr>
        <w:spacing w:line="540" w:lineRule="exact"/>
        <w:ind w:firstLine="632" w:firstLineChars="200"/>
        <w:rPr>
          <w:rFonts w:ascii="仿宋" w:hAnsi="仿宋" w:eastAsia="仿宋" w:cs="仿宋"/>
          <w:sz w:val="32"/>
          <w:highlight w:val="none"/>
        </w:rPr>
      </w:pPr>
      <w:r>
        <w:rPr>
          <w:rFonts w:hint="eastAsia" w:ascii="仿宋" w:hAnsi="仿宋" w:eastAsia="仿宋" w:cs="仿宋"/>
          <w:sz w:val="32"/>
          <w:highlight w:val="none"/>
        </w:rPr>
        <w:t>有关职责分工。</w:t>
      </w:r>
    </w:p>
    <w:p>
      <w:pPr>
        <w:spacing w:line="540" w:lineRule="exact"/>
        <w:ind w:firstLine="420"/>
        <w:rPr>
          <w:rFonts w:ascii="仿宋" w:hAnsi="仿宋" w:eastAsia="仿宋" w:cs="仿宋"/>
          <w:sz w:val="32"/>
          <w:highlight w:val="none"/>
        </w:rPr>
      </w:pPr>
      <w:r>
        <w:rPr>
          <w:rFonts w:hint="eastAsia" w:ascii="仿宋" w:hAnsi="仿宋" w:eastAsia="仿宋" w:cs="仿宋"/>
          <w:sz w:val="32"/>
          <w:highlight w:val="none"/>
        </w:rPr>
        <w:t xml:space="preserve">  1.与县卫生健康委员会的有关职责分工。县民政局负责统筹推进、督促指导、监督管理全县养老服务工作，参与拟订全县养老服务体系建设规划、法规、政策、标准并组织实施，承担老年人福利和特殊困难老年人救助工作。县卫生健康委员会参与拟订应对人口老龄化、医养结合政策措施，综合协调、督促指导、组织推进全县老龄事业发展，承担老年疾病防治、老年人医疗照护、老年人心理健康与关怀服务等老年健康工作。</w:t>
      </w:r>
    </w:p>
    <w:p>
      <w:pPr>
        <w:spacing w:line="540" w:lineRule="exact"/>
        <w:ind w:firstLine="420"/>
        <w:rPr>
          <w:rFonts w:hint="eastAsia" w:ascii="Times New Roman" w:hAnsi="Times New Roman" w:eastAsia="方正仿宋_GBK" w:cs="Times New Roman"/>
          <w:szCs w:val="32"/>
          <w:highlight w:val="none"/>
          <w:u w:val="none"/>
          <w:lang w:eastAsia="zh-CN"/>
        </w:rPr>
      </w:pPr>
      <w:r>
        <w:rPr>
          <w:rFonts w:hint="eastAsia" w:ascii="仿宋" w:hAnsi="仿宋" w:eastAsia="仿宋" w:cs="仿宋"/>
          <w:sz w:val="32"/>
          <w:highlight w:val="none"/>
        </w:rPr>
        <w:t xml:space="preserve">  2.与县自然资源局的有关职责分工。县民政局会同县自然资源局组织编制公布行政区划信息的县行政区划图。</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（二）机构设置</w:t>
      </w:r>
    </w:p>
    <w:p>
      <w:pPr>
        <w:spacing w:line="540" w:lineRule="exact"/>
        <w:ind w:firstLine="632" w:firstLineChars="200"/>
        <w:rPr>
          <w:rFonts w:hint="eastAsia" w:ascii="仿宋" w:hAnsi="仿宋" w:eastAsia="仿宋" w:cs="仿宋"/>
          <w:sz w:val="32"/>
          <w:highlight w:val="none"/>
          <w:lang w:eastAsia="zh-CN"/>
        </w:rPr>
      </w:pPr>
      <w:r>
        <w:rPr>
          <w:rFonts w:hint="eastAsia" w:ascii="仿宋" w:hAnsi="仿宋" w:eastAsia="仿宋" w:cs="仿宋"/>
          <w:sz w:val="32"/>
          <w:highlight w:val="none"/>
        </w:rPr>
        <w:t>巴青县</w:t>
      </w:r>
      <w:r>
        <w:rPr>
          <w:rFonts w:hint="eastAsia" w:ascii="仿宋" w:hAnsi="仿宋" w:eastAsia="仿宋" w:cs="仿宋"/>
          <w:sz w:val="32"/>
          <w:highlight w:val="none"/>
          <w:lang w:val="en-US" w:eastAsia="zh-CN"/>
        </w:rPr>
        <w:t>民政局</w:t>
      </w:r>
      <w:r>
        <w:rPr>
          <w:rFonts w:hint="eastAsia" w:ascii="仿宋" w:hAnsi="仿宋" w:eastAsia="仿宋" w:cs="仿宋"/>
          <w:sz w:val="32"/>
          <w:highlight w:val="none"/>
        </w:rPr>
        <w:t>机关行政编制</w:t>
      </w:r>
      <w:r>
        <w:rPr>
          <w:rFonts w:hint="eastAsia" w:ascii="仿宋" w:hAnsi="仿宋" w:eastAsia="仿宋" w:cs="仿宋"/>
          <w:sz w:val="32"/>
          <w:highlight w:val="none"/>
          <w:lang w:val="en-US" w:eastAsia="zh-CN"/>
        </w:rPr>
        <w:t>7</w:t>
      </w:r>
      <w:r>
        <w:rPr>
          <w:rFonts w:hint="eastAsia" w:ascii="仿宋" w:hAnsi="仿宋" w:eastAsia="仿宋" w:cs="仿宋"/>
          <w:sz w:val="32"/>
          <w:highlight w:val="none"/>
        </w:rPr>
        <w:t>名，部门领导职数</w:t>
      </w:r>
      <w:r>
        <w:rPr>
          <w:rFonts w:hint="eastAsia" w:ascii="仿宋" w:hAnsi="仿宋" w:eastAsia="仿宋" w:cs="仿宋"/>
          <w:sz w:val="32"/>
          <w:highlight w:val="none"/>
          <w:lang w:val="en-US" w:eastAsia="zh-CN"/>
        </w:rPr>
        <w:t>3</w:t>
      </w:r>
      <w:r>
        <w:rPr>
          <w:rFonts w:hint="eastAsia" w:ascii="仿宋" w:hAnsi="仿宋" w:eastAsia="仿宋" w:cs="仿宋"/>
          <w:sz w:val="32"/>
          <w:highlight w:val="none"/>
        </w:rPr>
        <w:t>名</w:t>
      </w:r>
      <w:r>
        <w:rPr>
          <w:rFonts w:hint="eastAsia" w:ascii="仿宋" w:hAnsi="仿宋" w:eastAsia="仿宋" w:cs="仿宋"/>
          <w:sz w:val="32"/>
          <w:highlight w:val="none"/>
          <w:lang w:eastAsia="zh-CN"/>
        </w:rPr>
        <w:t>，</w:t>
      </w:r>
      <w:r>
        <w:rPr>
          <w:rFonts w:hint="eastAsia" w:ascii="仿宋" w:hAnsi="仿宋" w:eastAsia="仿宋" w:cs="仿宋"/>
          <w:sz w:val="32"/>
          <w:highlight w:val="none"/>
          <w:lang w:val="en-US" w:eastAsia="zh-CN"/>
        </w:rPr>
        <w:t>局长1名，副局长2名</w:t>
      </w:r>
      <w:r>
        <w:rPr>
          <w:rFonts w:hint="eastAsia" w:ascii="仿宋" w:hAnsi="仿宋" w:eastAsia="仿宋" w:cs="仿宋"/>
          <w:sz w:val="32"/>
          <w:highlight w:val="none"/>
          <w:lang w:eastAsia="zh-CN"/>
        </w:rPr>
        <w:t>。</w:t>
      </w:r>
    </w:p>
    <w:p>
      <w:pPr>
        <w:spacing w:line="540" w:lineRule="exact"/>
        <w:ind w:firstLine="632" w:firstLineChars="200"/>
        <w:rPr>
          <w:rFonts w:hint="default" w:ascii="仿宋" w:hAnsi="仿宋" w:eastAsia="仿宋" w:cs="仿宋"/>
          <w:sz w:val="32"/>
          <w:highlight w:val="none"/>
          <w:lang w:val="en-US" w:eastAsia="zh-CN"/>
        </w:rPr>
      </w:pPr>
      <w:r>
        <w:rPr>
          <w:rFonts w:hint="eastAsia" w:ascii="仿宋" w:hAnsi="仿宋" w:eastAsia="仿宋" w:cs="仿宋"/>
          <w:sz w:val="32"/>
          <w:highlight w:val="none"/>
          <w:lang w:val="en-US" w:eastAsia="zh-CN"/>
        </w:rPr>
        <w:t>在</w:t>
      </w:r>
      <w:r>
        <w:rPr>
          <w:rFonts w:hint="eastAsia" w:ascii="仿宋" w:hAnsi="仿宋" w:eastAsia="仿宋" w:cs="仿宋"/>
          <w:sz w:val="32"/>
          <w:highlight w:val="none"/>
          <w:lang w:eastAsia="zh-CN"/>
        </w:rPr>
        <w:t>职实有人数</w:t>
      </w:r>
      <w:r>
        <w:rPr>
          <w:rFonts w:hint="eastAsia" w:ascii="仿宋" w:hAnsi="仿宋" w:eastAsia="仿宋" w:cs="仿宋"/>
          <w:sz w:val="32"/>
          <w:highlight w:val="none"/>
          <w:lang w:val="en-US" w:eastAsia="zh-CN"/>
        </w:rPr>
        <w:t>10名，其中：局长1名（正科级），副局长2名（副科级2名），一级主任科员1名，核对中心主任1名，科员2名；下设特困人员集中供养服务中心。院长1名，副院长1名，科员1名。</w:t>
      </w:r>
    </w:p>
    <w:p>
      <w:pPr>
        <w:spacing w:line="576" w:lineRule="exact"/>
        <w:jc w:val="both"/>
        <w:rPr>
          <w:rFonts w:hint="default" w:ascii="Times New Roman" w:hAnsi="Times New Roman" w:eastAsia="黑体" w:cs="Times New Roman"/>
          <w:b w:val="0"/>
          <w:bCs w:val="0"/>
          <w:szCs w:val="32"/>
          <w:highlight w:val="none"/>
          <w:u w:val="none"/>
        </w:rPr>
      </w:pPr>
      <w:bookmarkStart w:id="0" w:name="_GoBack"/>
      <w:bookmarkEnd w:id="0"/>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第二部分 巴青县</w:t>
      </w:r>
      <w:r>
        <w:rPr>
          <w:rFonts w:hint="default" w:ascii="Times New Roman" w:hAnsi="Times New Roman" w:eastAsia="黑体" w:cs="Times New Roman"/>
          <w:b w:val="0"/>
          <w:bCs w:val="0"/>
          <w:szCs w:val="32"/>
          <w:highlight w:val="none"/>
          <w:u w:val="none"/>
          <w:lang w:val="en-US" w:eastAsia="zh-CN"/>
        </w:rPr>
        <w:t>民政局</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年度部门决算表</w:t>
      </w: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第三部分  巴青县</w:t>
      </w:r>
      <w:r>
        <w:rPr>
          <w:rFonts w:hint="default" w:ascii="Times New Roman" w:hAnsi="Times New Roman" w:eastAsia="黑体" w:cs="Times New Roman"/>
          <w:b w:val="0"/>
          <w:bCs w:val="0"/>
          <w:szCs w:val="32"/>
          <w:highlight w:val="none"/>
          <w:u w:val="none"/>
          <w:lang w:val="en-US" w:eastAsia="zh-CN"/>
        </w:rPr>
        <w:t>民政局</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年年初结转结余资金</w:t>
      </w:r>
      <w:r>
        <w:rPr>
          <w:rFonts w:hint="default" w:ascii="Times New Roman" w:hAnsi="Times New Roman" w:eastAsia="方正仿宋_GBK" w:cs="Times New Roman"/>
          <w:szCs w:val="32"/>
          <w:highlight w:val="none"/>
          <w:u w:val="none"/>
          <w:lang w:val="en-US" w:eastAsia="zh-CN"/>
        </w:rPr>
        <w:t>0万元</w:t>
      </w:r>
      <w:r>
        <w:rPr>
          <w:rFonts w:hint="default" w:ascii="Times New Roman" w:hAnsi="Times New Roman" w:eastAsia="方正仿宋_GBK" w:cs="Times New Roman"/>
          <w:szCs w:val="32"/>
          <w:highlight w:val="none"/>
          <w:u w:val="none"/>
        </w:rPr>
        <w:t>，一般公共预算财政拨款收入</w:t>
      </w:r>
      <w:r>
        <w:rPr>
          <w:rFonts w:hint="default" w:ascii="Times New Roman" w:hAnsi="Times New Roman" w:eastAsia="方正仿宋_GBK" w:cs="Times New Roman"/>
          <w:szCs w:val="32"/>
          <w:highlight w:val="none"/>
          <w:u w:val="none"/>
          <w:lang w:val="en-US" w:eastAsia="zh-CN"/>
        </w:rPr>
        <w:t>2,782.58</w:t>
      </w:r>
      <w:r>
        <w:rPr>
          <w:rFonts w:hint="default" w:ascii="Times New Roman" w:hAnsi="Times New Roman" w:eastAsia="方正仿宋_GBK" w:cs="Times New Roman"/>
          <w:szCs w:val="32"/>
          <w:highlight w:val="none"/>
          <w:u w:val="none"/>
        </w:rPr>
        <w:t>万元，</w:t>
      </w:r>
      <w:r>
        <w:rPr>
          <w:rFonts w:hint="default" w:ascii="Times New Roman" w:hAnsi="Times New Roman" w:eastAsia="方正仿宋_GBK" w:cs="Times New Roman"/>
          <w:szCs w:val="32"/>
          <w:highlight w:val="none"/>
          <w:u w:val="none"/>
          <w:lang w:val="en-US" w:eastAsia="zh-CN"/>
        </w:rPr>
        <w:t>政府性基金预算财政拨款750.69万元，</w:t>
      </w:r>
      <w:r>
        <w:rPr>
          <w:rFonts w:hint="default" w:ascii="Times New Roman" w:hAnsi="Times New Roman" w:eastAsia="方正仿宋_GBK" w:cs="Times New Roman"/>
          <w:szCs w:val="32"/>
          <w:highlight w:val="none"/>
          <w:u w:val="none"/>
        </w:rPr>
        <w:t>本年支出合计</w:t>
      </w:r>
      <w:r>
        <w:rPr>
          <w:rFonts w:hint="default" w:ascii="Times New Roman" w:hAnsi="Times New Roman" w:eastAsia="方正仿宋_GBK" w:cs="Times New Roman"/>
          <w:szCs w:val="32"/>
          <w:highlight w:val="none"/>
          <w:u w:val="none"/>
          <w:lang w:val="en-US" w:eastAsia="zh-CN"/>
        </w:rPr>
        <w:t>3,533.27</w:t>
      </w:r>
      <w:r>
        <w:rPr>
          <w:rFonts w:hint="default" w:ascii="Times New Roman" w:hAnsi="Times New Roman" w:eastAsia="方正仿宋_GBK" w:cs="Times New Roman"/>
          <w:szCs w:val="32"/>
          <w:highlight w:val="none"/>
          <w:u w:val="none"/>
        </w:rPr>
        <w:t>万元，年末财政拨款结转和结余资金</w:t>
      </w:r>
      <w:r>
        <w:rPr>
          <w:rFonts w:hint="default" w:ascii="Times New Roman" w:hAnsi="Times New Roman" w:eastAsia="方正仿宋_GBK" w:cs="Times New Roman"/>
          <w:szCs w:val="32"/>
          <w:highlight w:val="none"/>
          <w:u w:val="none"/>
          <w:lang w:val="en-US" w:eastAsia="zh-CN"/>
        </w:rPr>
        <w:t>0万元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年收入合计</w:t>
      </w:r>
      <w:r>
        <w:rPr>
          <w:rFonts w:hint="default" w:ascii="Times New Roman" w:hAnsi="Times New Roman" w:eastAsia="方正仿宋_GBK" w:cs="Times New Roman"/>
          <w:szCs w:val="32"/>
          <w:highlight w:val="none"/>
          <w:u w:val="none"/>
          <w:lang w:val="en-US" w:eastAsia="zh-CN"/>
        </w:rPr>
        <w:t>3,533.27</w:t>
      </w:r>
      <w:r>
        <w:rPr>
          <w:rFonts w:hint="default" w:ascii="Times New Roman" w:hAnsi="Times New Roman" w:eastAsia="方正仿宋_GBK" w:cs="Times New Roman"/>
          <w:szCs w:val="32"/>
          <w:highlight w:val="none"/>
          <w:u w:val="none"/>
        </w:rPr>
        <w:t>万元。其中，财政拨款收入</w:t>
      </w:r>
      <w:r>
        <w:rPr>
          <w:rFonts w:hint="default" w:ascii="Times New Roman" w:hAnsi="Times New Roman" w:eastAsia="方正仿宋_GBK" w:cs="Times New Roman"/>
          <w:szCs w:val="32"/>
          <w:highlight w:val="none"/>
          <w:u w:val="none"/>
          <w:lang w:val="en-US" w:eastAsia="zh-CN"/>
        </w:rPr>
        <w:t xml:space="preserve">   3,533.27</w:t>
      </w:r>
      <w:r>
        <w:rPr>
          <w:rFonts w:hint="default" w:ascii="Times New Roman" w:hAnsi="Times New Roman" w:eastAsia="方正仿宋_GBK" w:cs="Times New Roman"/>
          <w:szCs w:val="32"/>
          <w:highlight w:val="none"/>
          <w:u w:val="none"/>
        </w:rPr>
        <w:t>万元，上级补助收入0万元，事业收入0万元，经营收入0万元，附属单位上缴收入0万元，其他收入0万元。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年支出合计</w:t>
      </w:r>
      <w:r>
        <w:rPr>
          <w:rFonts w:hint="default" w:ascii="Times New Roman" w:hAnsi="Times New Roman" w:eastAsia="方正仿宋_GBK" w:cs="Times New Roman"/>
          <w:szCs w:val="32"/>
          <w:highlight w:val="none"/>
          <w:u w:val="none"/>
          <w:lang w:val="en-US" w:eastAsia="zh-CN"/>
        </w:rPr>
        <w:t>3,533.27</w:t>
      </w:r>
      <w:r>
        <w:rPr>
          <w:rFonts w:hint="default" w:ascii="Times New Roman" w:hAnsi="Times New Roman" w:eastAsia="方正仿宋_GBK" w:cs="Times New Roman"/>
          <w:szCs w:val="32"/>
          <w:highlight w:val="none"/>
          <w:u w:val="none"/>
        </w:rPr>
        <w:t>万元。其中，基本支出</w:t>
      </w:r>
      <w:r>
        <w:rPr>
          <w:rFonts w:hint="default" w:ascii="Times New Roman" w:hAnsi="Times New Roman" w:eastAsia="方正仿宋_GBK" w:cs="Times New Roman"/>
          <w:szCs w:val="32"/>
          <w:highlight w:val="none"/>
          <w:u w:val="none"/>
          <w:lang w:val="en-US" w:eastAsia="zh-CN"/>
        </w:rPr>
        <w:t>463.86</w:t>
      </w:r>
      <w:r>
        <w:rPr>
          <w:rFonts w:hint="default" w:ascii="Times New Roman" w:hAnsi="Times New Roman" w:eastAsia="方正仿宋_GBK" w:cs="Times New Roman"/>
          <w:szCs w:val="32"/>
          <w:highlight w:val="none"/>
          <w:u w:val="none"/>
        </w:rPr>
        <w:t>万元，项目支出</w:t>
      </w:r>
      <w:r>
        <w:rPr>
          <w:rFonts w:hint="default" w:ascii="Times New Roman" w:hAnsi="Times New Roman" w:eastAsia="方正仿宋_GBK" w:cs="Times New Roman"/>
          <w:szCs w:val="32"/>
          <w:highlight w:val="none"/>
          <w:u w:val="none"/>
          <w:lang w:val="en-US" w:eastAsia="zh-CN"/>
        </w:rPr>
        <w:t>3,069.41</w:t>
      </w:r>
      <w:r>
        <w:rPr>
          <w:rFonts w:hint="default" w:ascii="Times New Roman" w:hAnsi="Times New Roman" w:eastAsia="方正仿宋_GBK" w:cs="Times New Roman"/>
          <w:szCs w:val="32"/>
          <w:highlight w:val="none"/>
          <w:u w:val="none"/>
        </w:rPr>
        <w:t>万元，上缴上级支出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年年初财政拨款结转和结余</w:t>
      </w:r>
      <w:r>
        <w:rPr>
          <w:rFonts w:hint="default" w:ascii="Times New Roman" w:hAnsi="Times New Roman" w:eastAsia="方正仿宋_GBK" w:cs="Times New Roman"/>
          <w:szCs w:val="32"/>
          <w:highlight w:val="none"/>
          <w:u w:val="none"/>
          <w:lang w:val="en-US" w:eastAsia="zh-CN"/>
        </w:rPr>
        <w:t>资金0</w:t>
      </w:r>
      <w:r>
        <w:rPr>
          <w:rFonts w:hint="default" w:ascii="Times New Roman" w:hAnsi="Times New Roman" w:eastAsia="方正仿宋_GBK" w:cs="Times New Roman"/>
          <w:szCs w:val="32"/>
          <w:highlight w:val="none"/>
          <w:u w:val="none"/>
        </w:rPr>
        <w:t>万元，本年财政拨款收入</w:t>
      </w:r>
      <w:r>
        <w:rPr>
          <w:rFonts w:hint="default" w:ascii="Times New Roman" w:hAnsi="Times New Roman" w:eastAsia="方正仿宋_GBK" w:cs="Times New Roman"/>
          <w:szCs w:val="32"/>
          <w:highlight w:val="none"/>
          <w:u w:val="none"/>
          <w:lang w:val="en-US" w:eastAsia="zh-CN"/>
        </w:rPr>
        <w:t>3,533.27</w:t>
      </w:r>
      <w:r>
        <w:rPr>
          <w:rFonts w:hint="default" w:ascii="Times New Roman" w:hAnsi="Times New Roman" w:eastAsia="方正仿宋_GBK" w:cs="Times New Roman"/>
          <w:szCs w:val="32"/>
          <w:highlight w:val="none"/>
          <w:u w:val="none"/>
        </w:rPr>
        <w:t>万元。其中，一般公共预算财政拨款收入</w:t>
      </w:r>
      <w:r>
        <w:rPr>
          <w:rFonts w:hint="default" w:ascii="Times New Roman" w:hAnsi="Times New Roman" w:eastAsia="方正仿宋_GBK" w:cs="Times New Roman"/>
          <w:szCs w:val="32"/>
          <w:highlight w:val="none"/>
          <w:u w:val="none"/>
          <w:lang w:val="en-US" w:eastAsia="zh-CN"/>
        </w:rPr>
        <w:t xml:space="preserve">     2,782.58</w:t>
      </w:r>
      <w:r>
        <w:rPr>
          <w:rFonts w:hint="default" w:ascii="Times New Roman" w:hAnsi="Times New Roman" w:eastAsia="方正仿宋_GBK" w:cs="Times New Roman"/>
          <w:szCs w:val="32"/>
          <w:highlight w:val="none"/>
          <w:u w:val="none"/>
        </w:rPr>
        <w:t>万元，政府性基金预算财政拨款收入</w:t>
      </w:r>
      <w:r>
        <w:rPr>
          <w:rFonts w:hint="default" w:ascii="Times New Roman" w:hAnsi="Times New Roman" w:eastAsia="方正仿宋_GBK" w:cs="Times New Roman"/>
          <w:szCs w:val="32"/>
          <w:highlight w:val="none"/>
          <w:u w:val="none"/>
          <w:lang w:val="en-US" w:eastAsia="zh-CN"/>
        </w:rPr>
        <w:t>750.69</w:t>
      </w:r>
      <w:r>
        <w:rPr>
          <w:rFonts w:hint="default" w:ascii="Times New Roman" w:hAnsi="Times New Roman" w:eastAsia="方正仿宋_GBK" w:cs="Times New Roman"/>
          <w:szCs w:val="32"/>
          <w:highlight w:val="none"/>
          <w:u w:val="none"/>
        </w:rPr>
        <w:t>万元，国有资本经营财政拨款收入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万元。本年财政拨款收入合计</w:t>
      </w:r>
      <w:r>
        <w:rPr>
          <w:rFonts w:hint="default" w:ascii="Times New Roman" w:hAnsi="Times New Roman" w:eastAsia="方正仿宋_GBK" w:cs="Times New Roman"/>
          <w:szCs w:val="32"/>
          <w:highlight w:val="none"/>
          <w:u w:val="none"/>
          <w:lang w:val="en-US" w:eastAsia="zh-CN"/>
        </w:rPr>
        <w:t>3,533.27</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年财政拨款支出</w:t>
      </w:r>
      <w:r>
        <w:rPr>
          <w:rFonts w:hint="default" w:ascii="Times New Roman" w:hAnsi="Times New Roman" w:eastAsia="方正仿宋_GBK" w:cs="Times New Roman"/>
          <w:szCs w:val="32"/>
          <w:highlight w:val="none"/>
          <w:u w:val="none"/>
          <w:lang w:val="en-US" w:eastAsia="zh-CN"/>
        </w:rPr>
        <w:t>3,533.27</w:t>
      </w:r>
      <w:r>
        <w:rPr>
          <w:rFonts w:hint="default" w:ascii="Times New Roman" w:hAnsi="Times New Roman" w:eastAsia="方正仿宋_GBK" w:cs="Times New Roman"/>
          <w:szCs w:val="32"/>
          <w:highlight w:val="none"/>
          <w:u w:val="none"/>
        </w:rPr>
        <w:t>万元。其中，一般公共预算财政拨款支出</w:t>
      </w:r>
      <w:r>
        <w:rPr>
          <w:rFonts w:hint="default" w:ascii="Times New Roman" w:hAnsi="Times New Roman" w:eastAsia="方正仿宋_GBK" w:cs="Times New Roman"/>
          <w:szCs w:val="32"/>
          <w:highlight w:val="none"/>
          <w:u w:val="none"/>
          <w:lang w:val="en-US" w:eastAsia="zh-CN"/>
        </w:rPr>
        <w:t>2782.58</w:t>
      </w:r>
      <w:r>
        <w:rPr>
          <w:rFonts w:hint="default" w:ascii="Times New Roman" w:hAnsi="Times New Roman" w:eastAsia="方正仿宋_GBK" w:cs="Times New Roman"/>
          <w:szCs w:val="32"/>
          <w:highlight w:val="none"/>
          <w:u w:val="none"/>
        </w:rPr>
        <w:t>万元，政府性基金预算财政拨款支出</w:t>
      </w:r>
      <w:r>
        <w:rPr>
          <w:rFonts w:hint="default" w:ascii="Times New Roman" w:hAnsi="Times New Roman" w:eastAsia="方正仿宋_GBK" w:cs="Times New Roman"/>
          <w:szCs w:val="32"/>
          <w:highlight w:val="none"/>
          <w:u w:val="none"/>
          <w:lang w:val="en-US" w:eastAsia="zh-CN"/>
        </w:rPr>
        <w:t xml:space="preserve">    750.69</w:t>
      </w:r>
      <w:r>
        <w:rPr>
          <w:rFonts w:hint="default" w:ascii="Times New Roman" w:hAnsi="Times New Roman" w:eastAsia="方正仿宋_GBK" w:cs="Times New Roman"/>
          <w:szCs w:val="32"/>
          <w:highlight w:val="none"/>
          <w:u w:val="none"/>
        </w:rPr>
        <w:t>万元，国有资本经营财政拨款支出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万元。本年年末财政拨款结转和结余</w:t>
      </w:r>
      <w:r>
        <w:rPr>
          <w:rFonts w:hint="default" w:ascii="Times New Roman" w:hAnsi="Times New Roman" w:eastAsia="方正仿宋_GBK" w:cs="Times New Roman"/>
          <w:szCs w:val="32"/>
          <w:highlight w:val="none"/>
          <w:u w:val="none"/>
          <w:lang w:val="en-US" w:eastAsia="zh-CN"/>
        </w:rPr>
        <w:t>资金0</w:t>
      </w:r>
      <w:r>
        <w:rPr>
          <w:rFonts w:hint="default" w:ascii="Times New Roman" w:hAnsi="Times New Roman" w:eastAsia="方正仿宋_GBK" w:cs="Times New Roman"/>
          <w:szCs w:val="32"/>
          <w:highlight w:val="none"/>
          <w:u w:val="none"/>
        </w:rPr>
        <w:t>万元。本年财政拨款支出合计</w:t>
      </w:r>
      <w:r>
        <w:rPr>
          <w:rFonts w:hint="default" w:ascii="Times New Roman" w:hAnsi="Times New Roman" w:eastAsia="方正仿宋_GBK" w:cs="Times New Roman"/>
          <w:szCs w:val="32"/>
          <w:highlight w:val="none"/>
          <w:u w:val="none"/>
          <w:lang w:val="en-US" w:eastAsia="zh-CN"/>
        </w:rPr>
        <w:t>3,533.27</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年一般公共预算财政拨款“三公”经费支出</w:t>
      </w:r>
      <w:r>
        <w:rPr>
          <w:rFonts w:hint="default" w:ascii="Times New Roman" w:hAnsi="Times New Roman" w:eastAsia="方正仿宋_GBK" w:cs="Times New Roman"/>
          <w:szCs w:val="32"/>
          <w:highlight w:val="none"/>
          <w:u w:val="none"/>
          <w:lang w:val="en-US" w:eastAsia="zh-CN"/>
        </w:rPr>
        <w:t>14.98</w:t>
      </w:r>
      <w:r>
        <w:rPr>
          <w:rFonts w:hint="default" w:ascii="Times New Roman" w:hAnsi="Times New Roman" w:eastAsia="方正仿宋_GBK" w:cs="Times New Roman"/>
          <w:szCs w:val="32"/>
          <w:highlight w:val="none"/>
          <w:u w:val="none"/>
        </w:rPr>
        <w:t xml:space="preserve">万元 </w:t>
      </w:r>
      <w:r>
        <w:rPr>
          <w:rFonts w:hint="eastAsia" w:ascii="Times New Roman" w:hAnsi="Times New Roman" w:eastAsia="方正仿宋_GBK" w:cs="Times New Roman"/>
          <w:szCs w:val="32"/>
          <w:highlight w:val="none"/>
          <w:u w:val="none"/>
          <w:lang w:eastAsia="zh-CN"/>
        </w:rPr>
        <w:t>。</w:t>
      </w:r>
      <w:r>
        <w:rPr>
          <w:rFonts w:hint="default" w:ascii="Times New Roman" w:hAnsi="Times New Roman" w:eastAsia="方正仿宋_GBK" w:cs="Times New Roman"/>
          <w:szCs w:val="32"/>
          <w:highlight w:val="none"/>
          <w:u w:val="none"/>
          <w:lang w:val="en-US" w:eastAsia="zh-CN"/>
        </w:rPr>
        <w:t>其中</w:t>
      </w:r>
      <w:r>
        <w:rPr>
          <w:rFonts w:hint="eastAsia"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t>公务用车购置及运行维护费14.98万元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年人员经费支出</w:t>
      </w:r>
      <w:r>
        <w:rPr>
          <w:rFonts w:hint="default" w:ascii="Times New Roman" w:hAnsi="Times New Roman" w:eastAsia="方正仿宋_GBK" w:cs="Times New Roman"/>
          <w:szCs w:val="32"/>
          <w:highlight w:val="none"/>
          <w:u w:val="none"/>
          <w:lang w:val="en-US" w:eastAsia="zh-CN"/>
        </w:rPr>
        <w:t>450.8</w:t>
      </w:r>
      <w:r>
        <w:rPr>
          <w:rFonts w:hint="default" w:ascii="Times New Roman" w:hAnsi="Times New Roman" w:eastAsia="方正仿宋_GBK" w:cs="Times New Roman"/>
          <w:szCs w:val="32"/>
          <w:highlight w:val="none"/>
          <w:u w:val="none"/>
        </w:rPr>
        <w:t>万元。其中，工资福利支出</w:t>
      </w:r>
      <w:r>
        <w:rPr>
          <w:rFonts w:hint="default" w:ascii="Times New Roman" w:hAnsi="Times New Roman" w:eastAsia="方正仿宋_GBK" w:cs="Times New Roman"/>
          <w:szCs w:val="32"/>
          <w:highlight w:val="none"/>
          <w:u w:val="none"/>
          <w:lang w:val="en-US" w:eastAsia="zh-CN"/>
        </w:rPr>
        <w:t>350.8</w:t>
      </w:r>
      <w:r>
        <w:rPr>
          <w:rFonts w:hint="default" w:ascii="Times New Roman" w:hAnsi="Times New Roman" w:eastAsia="方正仿宋_GBK" w:cs="Times New Roman"/>
          <w:szCs w:val="32"/>
          <w:highlight w:val="none"/>
          <w:u w:val="none"/>
        </w:rPr>
        <w:t>万元，对个人和家庭的补助</w:t>
      </w:r>
      <w:r>
        <w:rPr>
          <w:rFonts w:hint="default" w:ascii="Times New Roman" w:hAnsi="Times New Roman" w:eastAsia="方正仿宋_GBK" w:cs="Times New Roman"/>
          <w:szCs w:val="32"/>
          <w:highlight w:val="none"/>
          <w:u w:val="none"/>
          <w:lang w:val="en-US" w:eastAsia="zh-CN"/>
        </w:rPr>
        <w:t>100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年公用经费支出</w:t>
      </w:r>
      <w:r>
        <w:rPr>
          <w:rFonts w:hint="default" w:ascii="Times New Roman" w:hAnsi="Times New Roman" w:eastAsia="方正仿宋_GBK" w:cs="Times New Roman"/>
          <w:szCs w:val="32"/>
          <w:highlight w:val="none"/>
          <w:u w:val="none"/>
          <w:lang w:val="en-US" w:eastAsia="zh-CN"/>
        </w:rPr>
        <w:t>13.06</w:t>
      </w:r>
      <w:r>
        <w:rPr>
          <w:rFonts w:hint="default" w:ascii="Times New Roman" w:hAnsi="Times New Roman" w:eastAsia="方正仿宋_GBK" w:cs="Times New Roman"/>
          <w:szCs w:val="32"/>
          <w:highlight w:val="none"/>
          <w:u w:val="none"/>
        </w:rPr>
        <w:t>万元。其中，商品和服务支出</w:t>
      </w:r>
      <w:r>
        <w:rPr>
          <w:rFonts w:hint="default" w:ascii="Times New Roman" w:hAnsi="Times New Roman" w:eastAsia="方正仿宋_GBK" w:cs="Times New Roman"/>
          <w:szCs w:val="32"/>
          <w:highlight w:val="none"/>
          <w:u w:val="none"/>
          <w:lang w:val="en-US" w:eastAsia="zh-CN"/>
        </w:rPr>
        <w:t>13.06</w:t>
      </w:r>
      <w:r>
        <w:rPr>
          <w:rFonts w:hint="default" w:ascii="Times New Roman" w:hAnsi="Times New Roman" w:eastAsia="方正仿宋_GBK" w:cs="Times New Roman"/>
          <w:szCs w:val="32"/>
          <w:highlight w:val="none"/>
          <w:u w:val="none"/>
        </w:rPr>
        <w:t>万元，债务利息及费用支出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万元，资本性支出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万元，其他支出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年无政府采购项目。</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仿宋_GBK" w:cs="Times New Roman"/>
          <w:szCs w:val="32"/>
          <w:highlight w:val="none"/>
          <w:u w:val="none"/>
          <w:lang w:val="en-US"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w:t>
      </w:r>
      <w:r>
        <w:rPr>
          <w:rFonts w:hint="default" w:ascii="Times New Roman" w:hAnsi="Times New Roman" w:eastAsia="方正仿宋_GBK" w:cs="Times New Roman"/>
          <w:szCs w:val="32"/>
          <w:highlight w:val="none"/>
          <w:u w:val="none"/>
          <w:lang w:val="en-US" w:eastAsia="zh-CN"/>
        </w:rPr>
        <w:t>有</w:t>
      </w:r>
      <w:r>
        <w:rPr>
          <w:rFonts w:hint="default" w:ascii="Times New Roman" w:hAnsi="Times New Roman" w:eastAsia="方正仿宋_GBK" w:cs="Times New Roman"/>
          <w:szCs w:val="32"/>
          <w:highlight w:val="none"/>
          <w:u w:val="none"/>
        </w:rPr>
        <w:t>公用车辆</w:t>
      </w:r>
      <w:r>
        <w:rPr>
          <w:rFonts w:hint="eastAsia" w:ascii="Times New Roman" w:hAnsi="Times New Roman" w:eastAsia="方正仿宋_GBK" w:cs="Times New Roman"/>
          <w:szCs w:val="32"/>
          <w:highlight w:val="none"/>
          <w:u w:val="none"/>
          <w:lang w:val="en-US" w:eastAsia="zh-CN"/>
        </w:rPr>
        <w:t>1</w:t>
      </w:r>
      <w:r>
        <w:rPr>
          <w:rFonts w:hint="default" w:ascii="Times New Roman" w:hAnsi="Times New Roman" w:eastAsia="方正仿宋_GBK" w:cs="Times New Roman"/>
          <w:szCs w:val="32"/>
          <w:highlight w:val="none"/>
          <w:u w:val="none"/>
          <w:lang w:val="en-US" w:eastAsia="zh-CN"/>
        </w:rPr>
        <w:t>辆</w:t>
      </w:r>
      <w:r>
        <w:rPr>
          <w:rFonts w:hint="default" w:ascii="Times New Roman" w:hAnsi="Times New Roman" w:eastAsia="方正仿宋_GBK" w:cs="Times New Roman"/>
          <w:szCs w:val="32"/>
          <w:highlight w:val="none"/>
          <w:u w:val="none"/>
          <w:lang w:eastAsia="zh-CN"/>
        </w:rPr>
        <w:t>，</w:t>
      </w:r>
      <w:r>
        <w:rPr>
          <w:rFonts w:hint="eastAsia" w:ascii="Times New Roman" w:hAnsi="Times New Roman" w:eastAsia="方正仿宋_GBK" w:cs="Times New Roman"/>
          <w:szCs w:val="32"/>
          <w:highlight w:val="none"/>
          <w:u w:val="none"/>
          <w:lang w:val="en-US" w:eastAsia="zh-CN"/>
        </w:rPr>
        <w:t>由我单位统一管理。</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年无政府债务。</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十、重点、重大项目信息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年无重点、重大项目。</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方正仿宋_GBK" w:cs="Times New Roman"/>
          <w:b/>
          <w:bCs/>
          <w:szCs w:val="32"/>
          <w:highlight w:val="none"/>
          <w:u w:val="none"/>
        </w:rPr>
      </w:pPr>
      <w:r>
        <w:rPr>
          <w:rFonts w:hint="default" w:ascii="Times New Roman" w:hAnsi="Times New Roman" w:eastAsia="黑体" w:cs="Times New Roman"/>
          <w:b w:val="0"/>
          <w:bCs w:val="0"/>
          <w:szCs w:val="32"/>
          <w:highlight w:val="none"/>
          <w:u w:val="none"/>
        </w:rPr>
        <w:t>第四部分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方正仿宋_GBK" w:cs="Times New Roman"/>
          <w:b/>
          <w:bCs/>
          <w:szCs w:val="32"/>
          <w:highlight w:val="none"/>
          <w:u w:val="none"/>
        </w:rPr>
        <w:t>名词解释</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一、一般公共预算拨款收入：</w:t>
      </w:r>
      <w:r>
        <w:rPr>
          <w:rFonts w:hint="default" w:ascii="Times New Roman" w:hAnsi="Times New Roman" w:eastAsia="方正仿宋_GBK" w:cs="Times New Roman"/>
          <w:szCs w:val="32"/>
          <w:highlight w:val="none"/>
          <w:u w:val="none"/>
        </w:rPr>
        <w:t>指财政部门当年拨付的资金。</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二、基本支出：</w:t>
      </w:r>
      <w:r>
        <w:rPr>
          <w:rFonts w:hint="default" w:ascii="Times New Roman" w:hAnsi="Times New Roman" w:eastAsia="方正仿宋_GBK" w:cs="Times New Roman"/>
          <w:szCs w:val="32"/>
          <w:highlight w:val="none"/>
          <w:u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三、“三公经费”：</w:t>
      </w:r>
      <w:r>
        <w:rPr>
          <w:rFonts w:hint="default" w:ascii="Times New Roman" w:hAnsi="Times New Roman" w:eastAsia="方正仿宋_GBK" w:cs="Times New Roman"/>
          <w:szCs w:val="32"/>
          <w:highlight w:val="none"/>
          <w:u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四、机关运行经费：</w:t>
      </w:r>
      <w:r>
        <w:rPr>
          <w:rFonts w:hint="default" w:ascii="Times New Roman" w:hAnsi="Times New Roman" w:eastAsia="方正仿宋_GBK" w:cs="Times New Roman"/>
          <w:szCs w:val="32"/>
          <w:highlight w:val="none"/>
          <w:u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highlight w:val="none"/>
          <w:u w:val="none"/>
        </w:rPr>
      </w:pPr>
    </w:p>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30A0C27"/>
    <w:rsid w:val="0C2023B8"/>
    <w:rsid w:val="0C3476A1"/>
    <w:rsid w:val="0CD66F75"/>
    <w:rsid w:val="0CFB0E04"/>
    <w:rsid w:val="0E427E43"/>
    <w:rsid w:val="104F7BF5"/>
    <w:rsid w:val="13F345B2"/>
    <w:rsid w:val="15BA6B35"/>
    <w:rsid w:val="1772740C"/>
    <w:rsid w:val="1C6D01EB"/>
    <w:rsid w:val="1D606D4C"/>
    <w:rsid w:val="232D4C74"/>
    <w:rsid w:val="2739626C"/>
    <w:rsid w:val="27F55D64"/>
    <w:rsid w:val="29A97F26"/>
    <w:rsid w:val="2AF15282"/>
    <w:rsid w:val="2EED096A"/>
    <w:rsid w:val="2F9905A6"/>
    <w:rsid w:val="38CD0256"/>
    <w:rsid w:val="39106EF0"/>
    <w:rsid w:val="3C4B4F11"/>
    <w:rsid w:val="3D944A6D"/>
    <w:rsid w:val="3ECC6E1D"/>
    <w:rsid w:val="43BD3D2A"/>
    <w:rsid w:val="44105A5D"/>
    <w:rsid w:val="462B2178"/>
    <w:rsid w:val="4F9F3625"/>
    <w:rsid w:val="580D5BA1"/>
    <w:rsid w:val="58744E8B"/>
    <w:rsid w:val="5EB25DC0"/>
    <w:rsid w:val="626C747B"/>
    <w:rsid w:val="65223CA6"/>
    <w:rsid w:val="65BD4A8A"/>
    <w:rsid w:val="67E0314A"/>
    <w:rsid w:val="6E9309F8"/>
    <w:rsid w:val="6FCD6184"/>
    <w:rsid w:val="6FE729EA"/>
    <w:rsid w:val="70AC28EB"/>
    <w:rsid w:val="73843C53"/>
    <w:rsid w:val="744501A4"/>
    <w:rsid w:val="7991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8"/>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1</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2025-10-16T07:50:33Z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