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司法局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司法局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司法局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司法局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司法局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司法局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default" w:ascii="Times New Roman" w:hAnsi="Times New Roman" w:eastAsia="仿宋" w:cs="Times New Roman"/>
          <w:szCs w:val="32"/>
          <w:highlight w:val="none"/>
        </w:rPr>
        <w:t>主管全县司法工作：承担全面依法治县重要问题研究，协调有关方面提出全面依法治县中长期规划建设，负责有关安排部署落实情况的督察；负责跟踪了解各部门对立法工作计划的落实情况；承办县政府规章的解释、立法后评估工作；承担统筹推进法治建设的责任；负责县政府行政复议事项、指导协调监督法律顾问工作；负责拟订全县法制宣传教育规划、年度计划并组织实施，督导检查全县普法宣传以及民族团结、维护祖国统一等方面法律法规宣传、推动推动人民参与和促进全面依法治县、指导调解工作和人民陪审员、人民监督员选任管理工作、推进司法所建设；指导、监督律师、法律援助、司法鉴定、公证、仲裁和基层法律服务管理工作等问题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88" w:lineRule="exact"/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</w:rPr>
        <w:t>县司法局机关行政编制6名，部门领导职数3名，局长1名，副局长2名。</w:t>
      </w:r>
    </w:p>
    <w:p>
      <w:pPr>
        <w:spacing w:line="588" w:lineRule="exact"/>
        <w:ind w:firstLine="632" w:firstLineChars="200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</w:rPr>
        <w:t>在职实有人数15名，其中：局长1名（正科级），副局长2名（副科级2名）。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司法局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司法局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1,591.04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573.98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1,017.05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1,591.04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8.55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公务用车购置及运行维护费8.55万元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 xml:space="preserve">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541.79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541.79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32.2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32.2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仿宋" w:cs="Times New Roman"/>
          <w:szCs w:val="32"/>
        </w:rPr>
        <w:t>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统一归司法局管理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43F03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236A3E"/>
    <w:rsid w:val="0E427E43"/>
    <w:rsid w:val="104F7BF5"/>
    <w:rsid w:val="13F345B2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0ED3D2D"/>
    <w:rsid w:val="626C747B"/>
    <w:rsid w:val="65223CA6"/>
    <w:rsid w:val="65BD4A8A"/>
    <w:rsid w:val="67E0314A"/>
    <w:rsid w:val="6B205540"/>
    <w:rsid w:val="6E9309F8"/>
    <w:rsid w:val="6FCD6184"/>
    <w:rsid w:val="6FE729EA"/>
    <w:rsid w:val="70AC28EB"/>
    <w:rsid w:val="73843C53"/>
    <w:rsid w:val="73881B80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2025-10-21T03:05:41Z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