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bookmarkStart w:id="0" w:name="_GoBack"/>
      <w:r>
        <w:rPr>
          <w:rFonts w:hint="default" w:ascii="Times New Roman" w:hAnsi="Times New Roman" w:eastAsia="方正小标宋_GBK" w:cs="Times New Roman"/>
          <w:sz w:val="44"/>
          <w:szCs w:val="44"/>
          <w:highlight w:val="none"/>
          <w:u w:val="none"/>
        </w:rPr>
        <w:t>巴青县</w:t>
      </w:r>
      <w:r>
        <w:rPr>
          <w:rFonts w:hint="eastAsia" w:ascii="Times New Roman" w:hAnsi="Times New Roman" w:eastAsia="方正小标宋_GBK" w:cs="Times New Roman"/>
          <w:sz w:val="44"/>
          <w:szCs w:val="44"/>
          <w:highlight w:val="none"/>
          <w:u w:val="none"/>
          <w:lang w:val="en-US" w:eastAsia="zh-CN"/>
        </w:rPr>
        <w:t>宣传部</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w:t>
      </w:r>
      <w:r>
        <w:rPr>
          <w:rFonts w:hint="eastAsia" w:ascii="Times New Roman" w:hAnsi="Times New Roman" w:eastAsia="黑体" w:cs="Times New Roman"/>
          <w:b w:val="0"/>
          <w:bCs/>
          <w:szCs w:val="32"/>
          <w:highlight w:val="none"/>
          <w:u w:val="none"/>
          <w:lang w:val="en-US" w:eastAsia="zh-CN"/>
        </w:rPr>
        <w:t>宣传部</w:t>
      </w:r>
      <w:r>
        <w:rPr>
          <w:rFonts w:hint="default" w:ascii="Times New Roman" w:hAnsi="Times New Roman" w:eastAsia="黑体" w:cs="Times New Roman"/>
          <w:b w:val="0"/>
          <w:bCs/>
          <w:szCs w:val="32"/>
          <w:highlight w:val="none"/>
          <w:u w:val="none"/>
        </w:rPr>
        <w:t>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w:t>
      </w:r>
      <w:r>
        <w:rPr>
          <w:rFonts w:hint="eastAsia" w:ascii="Times New Roman" w:hAnsi="Times New Roman" w:eastAsia="黑体" w:cs="Times New Roman"/>
          <w:b w:val="0"/>
          <w:bCs/>
          <w:szCs w:val="32"/>
          <w:highlight w:val="none"/>
          <w:u w:val="none"/>
          <w:lang w:val="en-US" w:eastAsia="zh-CN"/>
        </w:rPr>
        <w:t>宣传部</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w:t>
      </w:r>
      <w:r>
        <w:rPr>
          <w:rFonts w:hint="eastAsia" w:ascii="Times New Roman" w:hAnsi="Times New Roman" w:eastAsia="黑体" w:cs="Times New Roman"/>
          <w:b w:val="0"/>
          <w:bCs/>
          <w:szCs w:val="32"/>
          <w:highlight w:val="none"/>
          <w:u w:val="none"/>
          <w:lang w:val="en-US" w:eastAsia="zh-CN"/>
        </w:rPr>
        <w:t>宣传部</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w:t>
      </w:r>
      <w:r>
        <w:rPr>
          <w:rFonts w:hint="eastAsia" w:ascii="Times New Roman" w:hAnsi="Times New Roman" w:eastAsia="黑体" w:cs="Times New Roman"/>
          <w:b w:val="0"/>
          <w:bCs w:val="0"/>
          <w:szCs w:val="32"/>
          <w:highlight w:val="none"/>
          <w:u w:val="none"/>
          <w:lang w:val="en-US" w:eastAsia="zh-CN"/>
        </w:rPr>
        <w:t>宣传部</w:t>
      </w:r>
      <w:r>
        <w:rPr>
          <w:rFonts w:hint="default" w:ascii="Times New Roman" w:hAnsi="Times New Roman" w:eastAsia="黑体" w:cs="Times New Roman"/>
          <w:b w:val="0"/>
          <w:bCs w:val="0"/>
          <w:szCs w:val="32"/>
          <w:highlight w:val="none"/>
          <w:u w:val="none"/>
        </w:rPr>
        <w:t>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eastAsia" w:ascii="Times New Roman" w:hAnsi="Times New Roman" w:eastAsia="方正仿宋_GBK" w:cs="Times New Roman"/>
          <w:szCs w:val="32"/>
          <w:highlight w:val="none"/>
          <w:u w:val="none"/>
          <w:lang w:val="en-US" w:eastAsia="zh-CN"/>
        </w:rPr>
        <w:t>宣传部</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w:t>
      </w:r>
      <w:r>
        <w:rPr>
          <w:rFonts w:hint="default" w:ascii="Times New Roman" w:hAnsi="Times New Roman" w:eastAsia="方正仿宋简体" w:cs="Times New Roman"/>
          <w:sz w:val="32"/>
          <w:szCs w:val="32"/>
          <w:highlight w:val="none"/>
        </w:rPr>
        <w:t>宣传贯彻党的理论和路线方针政策，按照自治区党委、 市委、县委决策部署，拟订全县宣传思想文化工作重大方针政策 和事业发展规划，统筹协调推进全县宣传思想文化领域法治建设，在市委宣传部的指导下，协调全县宣传思想文化系统各部门之间的工作。</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w:t>
      </w:r>
      <w:r>
        <w:rPr>
          <w:rFonts w:hint="default" w:ascii="Times New Roman" w:hAnsi="Times New Roman" w:eastAsia="方正仿宋简体" w:cs="Times New Roman"/>
          <w:sz w:val="32"/>
          <w:szCs w:val="32"/>
          <w:highlight w:val="none"/>
        </w:rPr>
        <w:t>贯彻落实党中央关于网络安全和信息化工作的方针政 策和自治区党委、市委、县委决策部署，加强县委对网络安全和 信息化工作的统一领导，协调督促有关方面落实县委网信委的决定事项、工作部署和要求；开展对涉及政治、经济、文化、社会等各个领域的网络安全和信息化重大问题研究，向县委网信委提出工作建议。</w:t>
      </w:r>
    </w:p>
    <w:p>
      <w:pPr>
        <w:numPr>
          <w:ilvl w:val="0"/>
          <w:numId w:val="0"/>
        </w:numPr>
        <w:ind w:firstLine="640"/>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3.</w:t>
      </w:r>
      <w:r>
        <w:rPr>
          <w:rFonts w:hint="default" w:ascii="Times New Roman" w:hAnsi="Times New Roman" w:eastAsia="方正仿宋简体" w:cs="Times New Roman"/>
          <w:sz w:val="32"/>
          <w:szCs w:val="32"/>
          <w:highlight w:val="none"/>
        </w:rPr>
        <w:t>统筹协调全县党的意识形态工作，贯彻落实党中央及自治区党委、市委关于意识形态工作的决策部署及县委的工作要求，组织协调意识形态领域工作责任落实和日常监督检查，结合巡视巡察工作开展专项检查。承担县委宣传思想文化工作领导小组日常工作。</w:t>
      </w:r>
      <w:r>
        <w:rPr>
          <w:rFonts w:hint="eastAsia" w:ascii="Times New Roman" w:hAnsi="Times New Roman" w:eastAsia="方正仿宋简体" w:cs="Times New Roman"/>
          <w:sz w:val="32"/>
          <w:szCs w:val="32"/>
          <w:highlight w:val="none"/>
          <w:lang w:val="en-US" w:eastAsia="zh-CN"/>
        </w:rPr>
        <w:t xml:space="preserve">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w:t>
      </w:r>
      <w:r>
        <w:rPr>
          <w:rFonts w:hint="default" w:ascii="Times New Roman" w:hAnsi="Times New Roman" w:eastAsia="方正仿宋简体" w:cs="Times New Roman"/>
          <w:sz w:val="32"/>
          <w:szCs w:val="32"/>
          <w:highlight w:val="none"/>
        </w:rPr>
        <w:t>统筹指导协调全县理论研究、理论学习、理论宣传工作，组织推动理论武装工作。组织实施马克思主义理论研究和建 设工程。</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5.</w:t>
      </w:r>
      <w:r>
        <w:rPr>
          <w:rFonts w:hint="default" w:ascii="Times New Roman" w:hAnsi="Times New Roman" w:eastAsia="方正仿宋简体" w:cs="Times New Roman"/>
          <w:sz w:val="32"/>
          <w:szCs w:val="32"/>
          <w:highlight w:val="none"/>
        </w:rPr>
        <w:t>负责规划组织全县思想政治工作</w:t>
      </w:r>
      <w:r>
        <w:rPr>
          <w:rFonts w:hint="eastAsia"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配合县委组织部做 好党员教育工作，指导协调编写党员教育教材，组织开展群众思 想教育。统筹指导协调全民国防教育工作。</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6.</w:t>
      </w:r>
      <w:r>
        <w:rPr>
          <w:rFonts w:hint="default" w:ascii="Times New Roman" w:hAnsi="Times New Roman" w:eastAsia="方正仿宋简体" w:cs="Times New Roman"/>
          <w:sz w:val="32"/>
          <w:szCs w:val="32"/>
          <w:highlight w:val="none"/>
        </w:rPr>
        <w:t xml:space="preserve">负责提高新闻舆论传播力、引导力、影响力，做好正面宣传西藏工作，统筹分析研判和引导社会舆论，指导协调全县 各新闻单位工作，组织全县突发公共事件应急新闻工作。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7.</w:t>
      </w:r>
      <w:r>
        <w:rPr>
          <w:rFonts w:hint="default" w:ascii="Times New Roman" w:hAnsi="Times New Roman" w:eastAsia="方正仿宋简体" w:cs="Times New Roman"/>
          <w:sz w:val="32"/>
          <w:szCs w:val="32"/>
          <w:highlight w:val="none"/>
        </w:rPr>
        <w:t xml:space="preserve">贯彻落实新闻出版业的管理制度并督促落实，管理全县新闻出版行政事务，组织协调有关本系统行政审批工作，统筹规划和指导协调全县新闻出版事业、产业发展，监督管理出版内容，监督管理印刷业，管理著作权，管理出版物进口等。组织指导协调全县“扫黄打非”工作，防范和打击达赖集团“藏独”反宣渗透。负责县内主要媒体及记者站的监督管理，负责新闻系列职称评审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8.</w:t>
      </w:r>
      <w:r>
        <w:rPr>
          <w:rFonts w:hint="default" w:ascii="Times New Roman" w:hAnsi="Times New Roman" w:eastAsia="方正仿宋简体" w:cs="Times New Roman"/>
          <w:sz w:val="32"/>
          <w:szCs w:val="32"/>
          <w:highlight w:val="none"/>
        </w:rPr>
        <w:t>统筹指导协调全县互联网宣传和信息内容管理工作。统筹协调全县数字新媒体的建设与管理。指导互联网舆情信息分析研判、处置协调的监督管理。协调制定重点网络舆情宣传引导口径。</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9.</w:t>
      </w:r>
      <w:r>
        <w:rPr>
          <w:rFonts w:hint="default" w:ascii="Times New Roman" w:hAnsi="Times New Roman" w:eastAsia="方正仿宋简体" w:cs="Times New Roman"/>
          <w:sz w:val="32"/>
          <w:szCs w:val="32"/>
          <w:highlight w:val="none"/>
        </w:rPr>
        <w:t>从宏观上统筹指导协调推动全县精神文化产品的创作和生产，协调组织中华优秀传统文化和优秀民族民间文化传承发展有关工作，指导协调推动群众文化建设，贯彻落实文化艺术事业地方性法规草案。负责推进巴青县精神文明创建工作，组织开展精神文明教育，拟订活动规划并组织实施。</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10.</w:t>
      </w:r>
      <w:r>
        <w:rPr>
          <w:rFonts w:hint="default" w:ascii="Times New Roman" w:hAnsi="Times New Roman" w:eastAsia="方正仿宋简体" w:cs="Times New Roman"/>
          <w:sz w:val="32"/>
          <w:szCs w:val="32"/>
          <w:highlight w:val="none"/>
        </w:rPr>
        <w:t>负责管理全县电影行政事务，指导监管电影制片、发行、放映工作，组织对电影作品内容进行审查，指导协助全县性电影活动，承担合作制片，输入输出影片的合作交流等。</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11.</w:t>
      </w:r>
      <w:r>
        <w:rPr>
          <w:rFonts w:hint="default" w:ascii="Times New Roman" w:hAnsi="Times New Roman" w:eastAsia="方正仿宋简体" w:cs="Times New Roman"/>
          <w:sz w:val="32"/>
          <w:szCs w:val="32"/>
          <w:highlight w:val="none"/>
        </w:rPr>
        <w:t xml:space="preserve">对全县新闻出版、广播影视、文化艺术改革发展研 究提出建议，统筹指导协调文化领域相关改革和文化事业、文化 产业及旅游发展，指导协调国有文化资产监管工作。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12.</w:t>
      </w:r>
      <w:r>
        <w:rPr>
          <w:rFonts w:hint="default" w:ascii="Times New Roman" w:hAnsi="Times New Roman" w:eastAsia="方正仿宋简体" w:cs="Times New Roman"/>
          <w:sz w:val="32"/>
          <w:szCs w:val="32"/>
          <w:highlight w:val="none"/>
        </w:rPr>
        <w:t>统筹指导全县舆情信息工作，经授权，组织协调开展境内外舆情信息收集分析研判工作，跟踪了解、研究掌握、及时上报宣传舆情动态；跟踪研究境外涉藏舆情，研究制定对外宣 传对策和涉藏舆论斗争策略，会同有关部门组织涉藏及反邪教等方面对外宣传和舆论斗争工作。根据自治区、那曲市、巴青县对 外宣传口径，配合做好人权宣传工作。</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13.</w:t>
      </w:r>
      <w:r>
        <w:rPr>
          <w:rFonts w:hint="default" w:ascii="Times New Roman" w:hAnsi="Times New Roman" w:eastAsia="方正仿宋简体" w:cs="Times New Roman"/>
          <w:sz w:val="32"/>
          <w:szCs w:val="32"/>
          <w:highlight w:val="none"/>
        </w:rPr>
        <w:t xml:space="preserve">贯彻执行党中央关于涉藏外宣工作方针政策，经授 权，统筹协调全县对外宣传工作，指导协调有关部门研究拟定我 县对外宣传工作制度和对外宣传事业发展总体规划。统筹涉藏国 际传播能力建设，经授权指导对外文化交流工作，协调推动中华文化“走出去”工作。统筹协调组织开展新闻发布工作，承担县 委新闻发布有关组织协调工作，负责县人民政府新闻发布组织实施工作，指导协助县直各部门和县、乡镇新闻发布会工作，推动 新闻发言人制度建设。配合做好境外来访记者采访事务方面的工 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14.</w:t>
      </w:r>
      <w:r>
        <w:rPr>
          <w:rFonts w:hint="default" w:ascii="Times New Roman" w:hAnsi="Times New Roman" w:eastAsia="方正仿宋简体" w:cs="Times New Roman"/>
          <w:sz w:val="32"/>
          <w:szCs w:val="32"/>
          <w:highlight w:val="none"/>
        </w:rPr>
        <w:t xml:space="preserve">受县委委托，会同县委组织部管理县直宣传文化单 位的领导干部。对乡镇党委宣传委员的任免提出意见。负责有关重要宣传舆论阵地和重要岗位领导干部管理。负责组织开展宣传思想文化系统干部教育培训和人才工作。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15.</w:t>
      </w:r>
      <w:r>
        <w:rPr>
          <w:rFonts w:hint="default" w:ascii="Times New Roman" w:hAnsi="Times New Roman" w:eastAsia="方正仿宋简体" w:cs="Times New Roman"/>
          <w:sz w:val="32"/>
          <w:szCs w:val="32"/>
          <w:highlight w:val="none"/>
        </w:rPr>
        <w:t xml:space="preserve">贯彻执行广播电视、网络视听节目服务管理的地方性法规、政府规章和政府规章草案，制定相关制度、措施并组织 实施和监督检查，指导、推进全县广播电视领域的制度改革。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16.</w:t>
      </w:r>
      <w:r>
        <w:rPr>
          <w:rFonts w:hint="default" w:ascii="Times New Roman" w:hAnsi="Times New Roman" w:eastAsia="方正仿宋简体" w:cs="Times New Roman"/>
          <w:sz w:val="32"/>
          <w:szCs w:val="32"/>
          <w:highlight w:val="none"/>
        </w:rPr>
        <w:t xml:space="preserve">负责拟订全县广播电视领域事业发展措施和规划，组织实施公共服务公益工程和公益活动，指导、监督全县广播电 视重点基础设施建设。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17.</w:t>
      </w:r>
      <w:r>
        <w:rPr>
          <w:rFonts w:hint="default" w:ascii="Times New Roman" w:hAnsi="Times New Roman" w:eastAsia="方正仿宋简体" w:cs="Times New Roman"/>
          <w:sz w:val="32"/>
          <w:szCs w:val="32"/>
          <w:highlight w:val="none"/>
        </w:rPr>
        <w:t>指导、协调、推动全县广播电视领域产业发展，制 定发展规划、产业发展措施并组织实施。</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18.</w:t>
      </w:r>
      <w:r>
        <w:rPr>
          <w:rFonts w:hint="default" w:ascii="Times New Roman" w:hAnsi="Times New Roman" w:eastAsia="方正仿宋简体" w:cs="Times New Roman"/>
          <w:sz w:val="32"/>
          <w:szCs w:val="32"/>
          <w:highlight w:val="none"/>
        </w:rPr>
        <w:t>负责对全县各类广播电视机构进行业务指导和行业监管，会同有关部门对网络视听节目服务机构进行监管。负责管理审核（初审）信息网络传播视听节目许可证相关材料，并报送上级行业部门审批。</w:t>
      </w:r>
    </w:p>
    <w:p>
      <w:pPr>
        <w:numPr>
          <w:ilvl w:val="0"/>
          <w:numId w:val="0"/>
        </w:numPr>
        <w:ind w:firstLine="640"/>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19.</w:t>
      </w:r>
      <w:r>
        <w:rPr>
          <w:rFonts w:hint="default" w:ascii="Times New Roman" w:hAnsi="Times New Roman" w:eastAsia="方正仿宋简体" w:cs="Times New Roman"/>
          <w:sz w:val="32"/>
          <w:szCs w:val="32"/>
          <w:highlight w:val="none"/>
        </w:rPr>
        <w:t xml:space="preserve">指导、协调广播电视全县性宣传活动，根据国家和 自治区政策开展广播电视节目评价工作。 </w:t>
      </w:r>
      <w:r>
        <w:rPr>
          <w:rFonts w:hint="eastAsia" w:ascii="Times New Roman" w:hAnsi="Times New Roman" w:eastAsia="方正仿宋简体" w:cs="Times New Roman"/>
          <w:sz w:val="32"/>
          <w:szCs w:val="32"/>
          <w:highlight w:val="none"/>
          <w:lang w:val="en-US" w:eastAsia="zh-CN"/>
        </w:rPr>
        <w:t xml:space="preserve">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20.</w:t>
      </w:r>
      <w:r>
        <w:rPr>
          <w:rFonts w:hint="default" w:ascii="Times New Roman" w:hAnsi="Times New Roman" w:eastAsia="方正仿宋简体" w:cs="Times New Roman"/>
          <w:sz w:val="32"/>
          <w:szCs w:val="32"/>
          <w:highlight w:val="none"/>
        </w:rPr>
        <w:t xml:space="preserve">指导全县电视剧行业发展和电视剧创作生产。监督 管理、审查广播电视节目内容和质量。指导、监督广播电视广告 播放。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21.</w:t>
      </w:r>
      <w:r>
        <w:rPr>
          <w:rFonts w:hint="default" w:ascii="Times New Roman" w:hAnsi="Times New Roman" w:eastAsia="方正仿宋简体" w:cs="Times New Roman"/>
          <w:sz w:val="32"/>
          <w:szCs w:val="32"/>
          <w:highlight w:val="none"/>
        </w:rPr>
        <w:t>负责推进广播电视与新媒体新技术新业态融合发展。</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22.</w:t>
      </w:r>
      <w:r>
        <w:rPr>
          <w:rFonts w:hint="default" w:ascii="Times New Roman" w:hAnsi="Times New Roman" w:eastAsia="方正仿宋简体" w:cs="Times New Roman"/>
          <w:sz w:val="32"/>
          <w:szCs w:val="32"/>
          <w:highlight w:val="none"/>
        </w:rPr>
        <w:t>拟订全县广播电视科技发展规划、措施并组织实 施和监督检查</w:t>
      </w:r>
      <w:r>
        <w:rPr>
          <w:rFonts w:hint="eastAsia" w:ascii="Times New Roman" w:hAnsi="Times New Roman" w:eastAsia="方正仿宋简体" w:cs="Times New Roman"/>
          <w:sz w:val="32"/>
          <w:szCs w:val="32"/>
          <w:highlight w:val="none"/>
          <w:lang w:val="en-US" w:eastAsia="zh-CN"/>
        </w:rPr>
        <w:t>,</w:t>
      </w:r>
      <w:r>
        <w:rPr>
          <w:rFonts w:hint="default" w:ascii="Times New Roman" w:hAnsi="Times New Roman" w:eastAsia="方正仿宋简体" w:cs="Times New Roman"/>
          <w:sz w:val="32"/>
          <w:szCs w:val="32"/>
          <w:highlight w:val="none"/>
        </w:rPr>
        <w:t xml:space="preserve">贯彻执行国家行业技术标准。负责监管广播电视节目传输覆盖、监测和安全播出，推进应急广播制度建设。指导、协调全县广播电视系统安全生产监管和应急处置工作。 </w:t>
      </w:r>
    </w:p>
    <w:p>
      <w:pPr>
        <w:numPr>
          <w:ilvl w:val="0"/>
          <w:numId w:val="0"/>
        </w:numPr>
        <w:ind w:firstLine="640"/>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23.</w:t>
      </w:r>
      <w:r>
        <w:rPr>
          <w:rFonts w:hint="default" w:ascii="Times New Roman" w:hAnsi="Times New Roman" w:eastAsia="方正仿宋简体" w:cs="Times New Roman"/>
          <w:sz w:val="32"/>
          <w:szCs w:val="32"/>
          <w:highlight w:val="none"/>
        </w:rPr>
        <w:t>统筹协调指导全县“乡村振兴 那曲奋进”活动相关工作</w:t>
      </w:r>
      <w:r>
        <w:rPr>
          <w:rFonts w:hint="eastAsia" w:ascii="Times New Roman" w:hAnsi="Times New Roman" w:eastAsia="方正仿宋简体" w:cs="Times New Roman"/>
          <w:sz w:val="32"/>
          <w:szCs w:val="32"/>
          <w:highlight w:val="none"/>
          <w:lang w:eastAsia="zh-CN"/>
        </w:rPr>
        <w:t>。</w:t>
      </w:r>
    </w:p>
    <w:p>
      <w:pPr>
        <w:numPr>
          <w:ilvl w:val="0"/>
          <w:numId w:val="0"/>
        </w:numPr>
        <w:ind w:firstLine="640"/>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24.</w:t>
      </w:r>
      <w:r>
        <w:rPr>
          <w:rFonts w:hint="default" w:ascii="Times New Roman" w:hAnsi="Times New Roman" w:eastAsia="方正仿宋简体" w:cs="Times New Roman"/>
          <w:sz w:val="32"/>
          <w:szCs w:val="32"/>
          <w:highlight w:val="none"/>
        </w:rPr>
        <w:t xml:space="preserve">根据授权，协助上级部门开展广播电视对外交流与合作，协调推动广播电视领域“走出去”工作。 </w:t>
      </w:r>
      <w:r>
        <w:rPr>
          <w:rFonts w:hint="eastAsia" w:ascii="Times New Roman" w:hAnsi="Times New Roman" w:eastAsia="方正仿宋简体" w:cs="Times New Roman"/>
          <w:sz w:val="32"/>
          <w:szCs w:val="32"/>
          <w:highlight w:val="none"/>
          <w:lang w:val="en-US" w:eastAsia="zh-CN"/>
        </w:rPr>
        <w:t xml:space="preserve">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25.</w:t>
      </w:r>
      <w:r>
        <w:rPr>
          <w:rFonts w:hint="default" w:ascii="Times New Roman" w:hAnsi="Times New Roman" w:eastAsia="方正仿宋简体" w:cs="Times New Roman"/>
          <w:sz w:val="32"/>
          <w:szCs w:val="32"/>
          <w:highlight w:val="none"/>
        </w:rPr>
        <w:t xml:space="preserve">指导全县广播电视、网络视听行业人才队伍建设。 </w:t>
      </w:r>
    </w:p>
    <w:p>
      <w:pPr>
        <w:numPr>
          <w:ilvl w:val="0"/>
          <w:numId w:val="0"/>
        </w:numPr>
        <w:ind w:firstLine="640"/>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26.</w:t>
      </w:r>
      <w:r>
        <w:rPr>
          <w:rFonts w:hint="default" w:ascii="Times New Roman" w:hAnsi="Times New Roman" w:eastAsia="方正仿宋简体" w:cs="Times New Roman"/>
          <w:sz w:val="32"/>
          <w:szCs w:val="32"/>
          <w:highlight w:val="none"/>
        </w:rPr>
        <w:t xml:space="preserve">组织起草全县网络安全和信息化发展中长期和重要政策；统筹推进网络安全和信息化法治、标准建设，负责相关制度的制定、实施和监督工作；监督实施网络安全和信息化领域 国家标准；依法完善与信息化相关的统计调查制度。 </w:t>
      </w:r>
      <w:r>
        <w:rPr>
          <w:rFonts w:hint="default" w:ascii="Times New Roman" w:hAnsi="Times New Roman" w:eastAsia="方正仿宋简体" w:cs="Times New Roman"/>
          <w:sz w:val="32"/>
          <w:szCs w:val="32"/>
          <w:highlight w:val="none"/>
        </w:rPr>
        <w:br w:type="textWrapping"/>
      </w:r>
      <w:r>
        <w:rPr>
          <w:rFonts w:hint="eastAsia" w:ascii="Times New Roman" w:hAnsi="Times New Roman" w:eastAsia="方正仿宋简体" w:cs="Times New Roman"/>
          <w:sz w:val="32"/>
          <w:szCs w:val="32"/>
          <w:highlight w:val="none"/>
          <w:lang w:val="en-US" w:eastAsia="zh-CN"/>
        </w:rPr>
        <w:t xml:space="preserve">    27.</w:t>
      </w:r>
      <w:r>
        <w:rPr>
          <w:rFonts w:hint="default" w:ascii="Times New Roman" w:hAnsi="Times New Roman" w:eastAsia="方正仿宋简体" w:cs="Times New Roman"/>
          <w:sz w:val="32"/>
          <w:szCs w:val="32"/>
          <w:highlight w:val="none"/>
        </w:rPr>
        <w:t xml:space="preserve">统筹协调全县网络意识形态工作，贯彻落实党中 央关于网络意识形态工作决策部署和自治区党委、市委、县委关于网络意识形态工作部署要求，组织协调网络意识形态工作责任制落实和日常监督检查。 </w:t>
      </w:r>
      <w:r>
        <w:rPr>
          <w:rFonts w:hint="eastAsia" w:ascii="Times New Roman" w:hAnsi="Times New Roman" w:eastAsia="方正仿宋简体" w:cs="Times New Roman"/>
          <w:sz w:val="32"/>
          <w:szCs w:val="32"/>
          <w:highlight w:val="none"/>
          <w:lang w:val="en-US" w:eastAsia="zh-CN"/>
        </w:rPr>
        <w:t xml:space="preserve">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28.</w:t>
      </w:r>
      <w:r>
        <w:rPr>
          <w:rFonts w:hint="default" w:ascii="Times New Roman" w:hAnsi="Times New Roman" w:eastAsia="方正仿宋简体" w:cs="Times New Roman"/>
          <w:sz w:val="32"/>
          <w:szCs w:val="32"/>
          <w:highlight w:val="none"/>
        </w:rPr>
        <w:t xml:space="preserve">统筹推进技术管网能力建设，做好预知、预警、预置工作，实现对数据信息流动的实时感知、对重点人群动向的跟进监测、对有害信息的预警处置；协调有关部门建立健全互联网新技术新应用新业态安全风险防控机制、互联网信息内容管理技术体系、网络应急指挥体系；负责协调处理全县网络安全和信 息化重大突发事件与有关应急工作；创新管控能力建设和管理机 制，协调自治区党委网信办、市委网信办实现精准封堵。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29.</w:t>
      </w:r>
      <w:r>
        <w:rPr>
          <w:rFonts w:hint="default" w:ascii="Times New Roman" w:hAnsi="Times New Roman" w:eastAsia="方正仿宋简体" w:cs="Times New Roman"/>
          <w:sz w:val="32"/>
          <w:szCs w:val="32"/>
          <w:highlight w:val="none"/>
        </w:rPr>
        <w:t xml:space="preserve">负责社交网络管理工作，承担社交网站、论坛、电子邮件、博客、微博客、QQ、微信、网络直播、短视频、小程序等具有社会动员功能网络应用的属地管理工作；统筹协调移动互联网管理，推进移动互联网健康有序发展；承担移动端新媒 体新应用创新发展和属地管理。 </w:t>
      </w:r>
      <w:r>
        <w:rPr>
          <w:rFonts w:hint="eastAsia" w:ascii="Times New Roman" w:hAnsi="Times New Roman" w:eastAsia="方正仿宋简体" w:cs="Times New Roman"/>
          <w:sz w:val="32"/>
          <w:szCs w:val="32"/>
          <w:highlight w:val="none"/>
          <w:lang w:val="en-US" w:eastAsia="zh-CN"/>
        </w:rPr>
        <w:t xml:space="preserve"> </w:t>
      </w:r>
      <w:r>
        <w:rPr>
          <w:rFonts w:hint="eastAsia" w:ascii="Times New Roman" w:hAnsi="Times New Roman" w:eastAsia="方正仿宋简体" w:cs="Times New Roman"/>
          <w:sz w:val="32"/>
          <w:szCs w:val="32"/>
          <w:highlight w:val="none"/>
          <w:lang w:val="en-US" w:eastAsia="zh-CN"/>
        </w:rPr>
        <w:br w:type="textWrapping"/>
      </w:r>
      <w:r>
        <w:rPr>
          <w:rFonts w:hint="eastAsia" w:ascii="Times New Roman" w:hAnsi="Times New Roman" w:eastAsia="方正仿宋简体" w:cs="Times New Roman"/>
          <w:sz w:val="32"/>
          <w:szCs w:val="32"/>
          <w:highlight w:val="none"/>
          <w:lang w:val="en-US" w:eastAsia="zh-CN"/>
        </w:rPr>
        <w:t xml:space="preserve">    30.</w:t>
      </w:r>
      <w:r>
        <w:rPr>
          <w:rFonts w:hint="default" w:ascii="Times New Roman" w:hAnsi="Times New Roman" w:eastAsia="方正仿宋简体" w:cs="Times New Roman"/>
          <w:sz w:val="32"/>
          <w:szCs w:val="32"/>
          <w:highlight w:val="none"/>
        </w:rPr>
        <w:t xml:space="preserve">组织拟订互联网信息服务资本准入和网络信息安全 审查的有关政策；依法承担互联网新闻信息服务许可审批工作和日常监管；指导有关部门督促电信运营企业、接入服务企业、域名注册管理和服务机构等做好域名注册、网站登记备案、接入以及网络行为主体身份信息核对等基础管理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 xml:space="preserve"> 31.</w:t>
      </w:r>
      <w:r>
        <w:rPr>
          <w:rFonts w:hint="default" w:ascii="Times New Roman" w:hAnsi="Times New Roman" w:eastAsia="方正仿宋简体" w:cs="Times New Roman"/>
          <w:sz w:val="32"/>
          <w:szCs w:val="32"/>
          <w:highlight w:val="none"/>
        </w:rPr>
        <w:t xml:space="preserve">统筹全县网络综合治理体系建设，协调有关部门 实施国家相关行业网络安全规划及保障体系，协调推进关键信息 基础设施和信息安全等级保护工作；指导推进党政部门、重点行 业网络安全保障和信息化工作，统筹网络安全和信息化技术系统 科研攻关和本地化应用研究，推进网络安全和信息化军民融合发展。 </w:t>
      </w:r>
    </w:p>
    <w:p>
      <w:pPr>
        <w:numPr>
          <w:ilvl w:val="0"/>
          <w:numId w:val="0"/>
        </w:numPr>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 xml:space="preserve">     32.</w:t>
      </w:r>
      <w:r>
        <w:rPr>
          <w:rFonts w:hint="default" w:ascii="Times New Roman" w:hAnsi="Times New Roman" w:eastAsia="方正仿宋简体" w:cs="Times New Roman"/>
          <w:sz w:val="32"/>
          <w:szCs w:val="32"/>
          <w:highlight w:val="none"/>
        </w:rPr>
        <w:t>统筹协调全县网络安全工作和相关监督管理工作，组织协调网络安全工作责任制落实，拟订全县网络安全相关政策措施，推进网络安全有关工程建设，加强和规范网络安全信息汇集、分析和研判工作，统筹协调开展网络安全检查，指导网 络安全信息共享和通报；指导推动全县信息化工作，协调信息化 发展中的重大问题；协调处理信息安全重大事件。</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33.</w:t>
      </w:r>
      <w:r>
        <w:rPr>
          <w:rFonts w:hint="default" w:ascii="Times New Roman" w:hAnsi="Times New Roman" w:eastAsia="方正仿宋简体" w:cs="Times New Roman"/>
          <w:sz w:val="32"/>
          <w:szCs w:val="32"/>
          <w:highlight w:val="none"/>
        </w:rPr>
        <w:t>负责网络舆情工作。组织开展网络舆情监测、收集、分析和研判工作，跟踪了解和掌握网络舆情动态；统筹协调全县网络违法和不良信息举报、核查、处置、激励工作；依法规 范互联网舆情服务市场。</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34.</w:t>
      </w:r>
      <w:r>
        <w:rPr>
          <w:rFonts w:hint="default" w:ascii="Times New Roman" w:hAnsi="Times New Roman" w:eastAsia="方正仿宋简体" w:cs="Times New Roman"/>
          <w:sz w:val="32"/>
          <w:szCs w:val="32"/>
          <w:highlight w:val="none"/>
        </w:rPr>
        <w:t>负责全县互联网信息内容管理。拟订网络新闻信 息传播政策措施和制度，组织协调网络宣传管理和舆论引导工作，推进网上正能量传播；负责网络信息内容监督管理执法，组织开展网络舆论生态治理，处置网上有害信息，依照相关法律和 规定查处违法违规行为和网站。</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35.</w:t>
      </w:r>
      <w:r>
        <w:rPr>
          <w:rFonts w:hint="default" w:ascii="Times New Roman" w:hAnsi="Times New Roman" w:eastAsia="方正仿宋简体" w:cs="Times New Roman"/>
          <w:sz w:val="32"/>
          <w:szCs w:val="32"/>
          <w:highlight w:val="none"/>
        </w:rPr>
        <w:t>推进网络阵地建设。负责重点新闻网站规划建设，指导协调网络游戏、网络视听、网络出版等相关业务；会同有关 部门推动传统媒体与新兴媒体融合发展；负责网站转载新闻稿源的管理。</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36.</w:t>
      </w:r>
      <w:r>
        <w:rPr>
          <w:rFonts w:hint="default" w:ascii="Times New Roman" w:hAnsi="Times New Roman" w:eastAsia="方正仿宋简体" w:cs="Times New Roman"/>
          <w:sz w:val="32"/>
          <w:szCs w:val="32"/>
          <w:highlight w:val="none"/>
        </w:rPr>
        <w:t>负责网络评论工作。指导推动网络评论队伍建设， 制定网络评论工作和网络评论队伍建设的政策并组织实施。</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37.</w:t>
      </w:r>
      <w:r>
        <w:rPr>
          <w:rFonts w:hint="default" w:ascii="Times New Roman" w:hAnsi="Times New Roman" w:eastAsia="方正仿宋简体" w:cs="Times New Roman"/>
          <w:sz w:val="32"/>
          <w:szCs w:val="32"/>
          <w:highlight w:val="none"/>
        </w:rPr>
        <w:t xml:space="preserve">统筹推进网络党建工作。推动网络社会工作和网 络文化、网络文明建设；管理、发展、联系和服务互联网社会组织，指导互联网行业自律；承担网络人士的统战工作。 </w:t>
      </w:r>
    </w:p>
    <w:p>
      <w:pPr>
        <w:numPr>
          <w:ilvl w:val="0"/>
          <w:numId w:val="0"/>
        </w:numPr>
        <w:ind w:firstLine="640"/>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38.</w:t>
      </w:r>
      <w:r>
        <w:rPr>
          <w:rFonts w:hint="default" w:ascii="Times New Roman" w:hAnsi="Times New Roman" w:eastAsia="方正仿宋简体" w:cs="Times New Roman"/>
          <w:sz w:val="32"/>
          <w:szCs w:val="32"/>
          <w:highlight w:val="none"/>
        </w:rPr>
        <w:t xml:space="preserve">协调拟订扶持信息网络行业自主创新和发展的政策体系，开展互联网经济和发展态势研究，推动建立健全信息网 络行业投融资支持服务体系、技术创新服务体系。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39.</w:t>
      </w:r>
      <w:r>
        <w:rPr>
          <w:rFonts w:hint="default" w:ascii="Times New Roman" w:hAnsi="Times New Roman" w:eastAsia="方正仿宋简体" w:cs="Times New Roman"/>
          <w:sz w:val="32"/>
          <w:szCs w:val="32"/>
          <w:highlight w:val="none"/>
        </w:rPr>
        <w:t>指导相关行业开展金融信息服务业务。组织开展 金融信息服务市场监管；协调金融监管部门建立网络金融信息发布、传播监管制度及工作机制</w:t>
      </w:r>
      <w:r>
        <w:rPr>
          <w:rFonts w:hint="eastAsia" w:ascii="Times New Roman" w:hAnsi="Times New Roman" w:eastAsia="方正仿宋简体"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40.</w:t>
      </w:r>
      <w:r>
        <w:rPr>
          <w:rFonts w:hint="default" w:ascii="Times New Roman" w:hAnsi="Times New Roman" w:eastAsia="方正仿宋简体" w:cs="Times New Roman"/>
          <w:sz w:val="32"/>
          <w:szCs w:val="32"/>
          <w:highlight w:val="none"/>
        </w:rPr>
        <w:t>贯彻落实互联网数据管理有关政策，抓好互联网新闻信息传播技术标准推广应用。指导涉及全县互联网安全运行的重大工程和系统建设的规划、论证工作；指导推进新技术新应用安全评估。</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eastAsia" w:ascii="Times New Roman" w:hAnsi="Times New Roman" w:eastAsia="方正仿宋简体" w:cs="Times New Roman"/>
          <w:sz w:val="32"/>
          <w:szCs w:val="32"/>
          <w:highlight w:val="none"/>
          <w:lang w:val="en-US" w:eastAsia="zh-CN"/>
        </w:rPr>
      </w:pPr>
      <w:r>
        <w:rPr>
          <w:rFonts w:hint="eastAsia" w:ascii="Times New Roman" w:hAnsi="Times New Roman" w:eastAsia="方正仿宋简体" w:cs="Times New Roman"/>
          <w:sz w:val="32"/>
          <w:szCs w:val="32"/>
          <w:highlight w:val="none"/>
          <w:lang w:val="en-US" w:eastAsia="zh-CN"/>
        </w:rPr>
        <w:t>41.</w:t>
      </w:r>
      <w:r>
        <w:rPr>
          <w:rFonts w:hint="default" w:ascii="Times New Roman" w:hAnsi="Times New Roman" w:eastAsia="方正仿宋简体" w:cs="Times New Roman"/>
          <w:sz w:val="32"/>
          <w:szCs w:val="32"/>
          <w:highlight w:val="none"/>
        </w:rPr>
        <w:t xml:space="preserve">组织拟订网络安全和信息化干部人才队伍发展规 划。组织开展网络安全和信息化干部教育培训和人才队伍建设；指导互联网新闻信息服务从业人员教育培训和考评工作；组织开展网络媒介素养教育。 </w:t>
      </w:r>
      <w:r>
        <w:rPr>
          <w:rFonts w:hint="eastAsia" w:ascii="Times New Roman" w:hAnsi="Times New Roman" w:eastAsia="方正仿宋简体" w:cs="Times New Roman"/>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42.</w:t>
      </w:r>
      <w:r>
        <w:rPr>
          <w:rFonts w:hint="default" w:ascii="Times New Roman" w:hAnsi="Times New Roman" w:eastAsia="方正仿宋简体" w:cs="Times New Roman"/>
          <w:sz w:val="32"/>
          <w:szCs w:val="32"/>
          <w:highlight w:val="none"/>
        </w:rPr>
        <w:t xml:space="preserve">指导、检查和推动各乡镇和有关部门网络安全和 信息化工作。 </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jc w:val="both"/>
        <w:textAlignment w:val="auto"/>
        <w:outlineLvl w:val="9"/>
        <w:rPr>
          <w:rFonts w:hint="default" w:ascii="Times New Roman" w:hAnsi="Times New Roman" w:eastAsia="方正仿宋简体" w:cs="Times New Roman"/>
          <w:sz w:val="32"/>
          <w:szCs w:val="32"/>
          <w:highlight w:val="none"/>
        </w:rPr>
      </w:pPr>
      <w:r>
        <w:rPr>
          <w:rFonts w:hint="eastAsia" w:ascii="Times New Roman" w:hAnsi="Times New Roman" w:eastAsia="方正仿宋简体" w:cs="Times New Roman"/>
          <w:sz w:val="32"/>
          <w:szCs w:val="32"/>
          <w:highlight w:val="none"/>
          <w:lang w:val="en-US" w:eastAsia="zh-CN"/>
        </w:rPr>
        <w:t>43.</w:t>
      </w:r>
      <w:r>
        <w:rPr>
          <w:rFonts w:hint="default" w:ascii="Times New Roman" w:hAnsi="Times New Roman" w:eastAsia="方正仿宋简体" w:cs="Times New Roman"/>
          <w:sz w:val="32"/>
          <w:szCs w:val="32"/>
          <w:highlight w:val="none"/>
        </w:rPr>
        <w:t>负责本行业本领域安全生产监管和应急处置工 作。</w:t>
      </w:r>
    </w:p>
    <w:p>
      <w:pPr>
        <w:keepNext w:val="0"/>
        <w:keepLines w:val="0"/>
        <w:pageBreakBefore w:val="0"/>
        <w:widowControl w:val="0"/>
        <w:kinsoku/>
        <w:wordWrap/>
        <w:overflowPunct/>
        <w:topLinePunct w:val="0"/>
        <w:autoSpaceDE/>
        <w:autoSpaceDN/>
        <w:bidi w:val="0"/>
        <w:adjustRightInd/>
        <w:snapToGrid/>
        <w:spacing w:line="576" w:lineRule="exact"/>
        <w:ind w:left="632" w:leftChars="0" w:right="0" w:rightChars="0" w:hanging="632" w:hangingChars="200"/>
        <w:jc w:val="both"/>
        <w:textAlignment w:val="auto"/>
        <w:outlineLvl w:val="9"/>
        <w:rPr>
          <w:rFonts w:hint="default" w:ascii="Times New Roman" w:hAnsi="Times New Roman" w:eastAsia="方正仿宋_GBK" w:cs="Times New Roman"/>
          <w:szCs w:val="32"/>
          <w:highlight w:val="none"/>
          <w:u w:val="none"/>
        </w:rPr>
      </w:pPr>
      <w:r>
        <w:rPr>
          <w:rFonts w:hint="eastAsia" w:ascii="Times New Roman" w:hAnsi="Times New Roman" w:eastAsia="方正仿宋简体" w:cs="Times New Roman"/>
          <w:sz w:val="32"/>
          <w:szCs w:val="32"/>
          <w:highlight w:val="none"/>
          <w:lang w:val="en-US" w:eastAsia="zh-CN"/>
        </w:rPr>
        <w:t xml:space="preserve">    44.</w:t>
      </w:r>
      <w:r>
        <w:rPr>
          <w:rFonts w:hint="default" w:ascii="Times New Roman" w:hAnsi="Times New Roman" w:eastAsia="方正仿宋简体" w:cs="Times New Roman"/>
          <w:sz w:val="32"/>
          <w:szCs w:val="32"/>
          <w:highlight w:val="none"/>
        </w:rPr>
        <w:t xml:space="preserve">完成县委交办的其他任务。 </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60" w:lineRule="exact"/>
        <w:ind w:firstLine="632" w:firstLineChars="200"/>
        <w:rPr>
          <w:rFonts w:ascii="仿宋" w:hAnsi="仿宋" w:eastAsia="仿宋" w:cs="仿宋"/>
          <w:sz w:val="32"/>
          <w:highlight w:val="none"/>
        </w:rPr>
      </w:pPr>
      <w:r>
        <w:rPr>
          <w:rFonts w:hint="eastAsia" w:ascii="仿宋" w:hAnsi="仿宋" w:eastAsia="仿宋" w:cs="仿宋"/>
          <w:sz w:val="32"/>
          <w:highlight w:val="none"/>
        </w:rPr>
        <w:t>县委宣传部机关人员编制6名。设部长1名，副部长 5 名（分管日常工作的副部长和兼任广电局局长的副部长均为正科级）。</w:t>
      </w: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w:t>
      </w:r>
      <w:r>
        <w:rPr>
          <w:rFonts w:hint="eastAsia" w:ascii="Times New Roman" w:hAnsi="Times New Roman" w:eastAsia="黑体" w:cs="Times New Roman"/>
          <w:b w:val="0"/>
          <w:bCs w:val="0"/>
          <w:szCs w:val="32"/>
          <w:highlight w:val="none"/>
          <w:u w:val="none"/>
          <w:lang w:val="en-US" w:eastAsia="zh-CN"/>
        </w:rPr>
        <w:t>宣传部</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w:t>
      </w:r>
      <w:r>
        <w:rPr>
          <w:rFonts w:hint="eastAsia" w:ascii="Times New Roman" w:hAnsi="Times New Roman" w:eastAsia="黑体" w:cs="Times New Roman"/>
          <w:b w:val="0"/>
          <w:bCs w:val="0"/>
          <w:szCs w:val="32"/>
          <w:highlight w:val="none"/>
          <w:u w:val="none"/>
          <w:lang w:val="en-US" w:eastAsia="zh-CN"/>
        </w:rPr>
        <w:t>宣传部</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万元，本年支出合计</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万元，年末财政拨款结转和结余资金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万元。其中，基本支出</w:t>
      </w:r>
      <w:r>
        <w:rPr>
          <w:rFonts w:hint="eastAsia" w:ascii="Times New Roman" w:hAnsi="Times New Roman" w:eastAsia="方正仿宋_GBK" w:cs="Times New Roman"/>
          <w:szCs w:val="32"/>
          <w:highlight w:val="none"/>
          <w:u w:val="none"/>
          <w:lang w:val="en-US" w:eastAsia="zh-CN"/>
        </w:rPr>
        <w:t>425.83</w:t>
      </w:r>
      <w:r>
        <w:rPr>
          <w:rFonts w:hint="default" w:ascii="Times New Roman" w:hAnsi="Times New Roman" w:eastAsia="方正仿宋_GBK" w:cs="Times New Roman"/>
          <w:szCs w:val="32"/>
          <w:highlight w:val="none"/>
          <w:u w:val="none"/>
        </w:rPr>
        <w:t>万元，项目支出</w:t>
      </w:r>
      <w:r>
        <w:rPr>
          <w:rFonts w:hint="eastAsia" w:ascii="Times New Roman" w:hAnsi="Times New Roman" w:eastAsia="方正仿宋_GBK" w:cs="Times New Roman"/>
          <w:szCs w:val="32"/>
          <w:highlight w:val="none"/>
          <w:u w:val="none"/>
          <w:lang w:val="en-US" w:eastAsia="zh-CN"/>
        </w:rPr>
        <w:t>672.5</w:t>
      </w:r>
      <w:r>
        <w:rPr>
          <w:rFonts w:hint="default" w:ascii="Times New Roman" w:hAnsi="Times New Roman" w:eastAsia="方正仿宋_GBK" w:cs="Times New Roman"/>
          <w:szCs w:val="32"/>
          <w:highlight w:val="none"/>
          <w:u w:val="none"/>
        </w:rPr>
        <w:t>万元，上缴上级支出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万元。其中，一般公共预算财政拨款收入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万元，政府性基金预算财政拨款收入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万元。其中，一般公共预算财政拨款支出</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万元，国有资本经营财政拨款支出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eastAsia" w:ascii="Times New Roman" w:hAnsi="Times New Roman" w:eastAsia="方正仿宋_GBK" w:cs="Times New Roman"/>
          <w:szCs w:val="32"/>
          <w:highlight w:val="none"/>
          <w:u w:val="none"/>
          <w:lang w:val="en-US" w:eastAsia="zh-CN"/>
        </w:rPr>
        <w:t>1,098.33</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 。</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eastAsia" w:ascii="Times New Roman" w:hAnsi="Times New Roman" w:eastAsia="方正仿宋_GBK" w:cs="Times New Roman"/>
          <w:szCs w:val="32"/>
          <w:highlight w:val="none"/>
          <w:u w:val="none"/>
          <w:lang w:val="en-US" w:eastAsia="zh-CN"/>
        </w:rPr>
        <w:t>406.27</w:t>
      </w:r>
      <w:r>
        <w:rPr>
          <w:rFonts w:hint="default" w:ascii="Times New Roman" w:hAnsi="Times New Roman" w:eastAsia="方正仿宋_GBK" w:cs="Times New Roman"/>
          <w:szCs w:val="32"/>
          <w:highlight w:val="none"/>
          <w:u w:val="none"/>
        </w:rPr>
        <w:t>万元。其中，工资福利支出</w:t>
      </w:r>
      <w:r>
        <w:rPr>
          <w:rFonts w:hint="eastAsia" w:ascii="Times New Roman" w:hAnsi="Times New Roman" w:eastAsia="方正仿宋_GBK" w:cs="Times New Roman"/>
          <w:szCs w:val="32"/>
          <w:highlight w:val="none"/>
          <w:u w:val="none"/>
          <w:lang w:val="en-US" w:eastAsia="zh-CN"/>
        </w:rPr>
        <w:t>406.27</w:t>
      </w:r>
      <w:r>
        <w:rPr>
          <w:rFonts w:hint="default" w:ascii="Times New Roman" w:hAnsi="Times New Roman" w:eastAsia="方正仿宋_GBK" w:cs="Times New Roman"/>
          <w:szCs w:val="32"/>
          <w:highlight w:val="none"/>
          <w:u w:val="none"/>
        </w:rPr>
        <w:t>万元，对个人和家庭的补助</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eastAsia" w:ascii="Times New Roman" w:hAnsi="Times New Roman" w:eastAsia="方正仿宋_GBK" w:cs="Times New Roman"/>
          <w:szCs w:val="32"/>
          <w:highlight w:val="none"/>
          <w:u w:val="none"/>
          <w:lang w:val="en-US" w:eastAsia="zh-CN"/>
        </w:rPr>
        <w:t>19.56</w:t>
      </w:r>
      <w:r>
        <w:rPr>
          <w:rFonts w:hint="default" w:ascii="Times New Roman" w:hAnsi="Times New Roman" w:eastAsia="方正仿宋_GBK" w:cs="Times New Roman"/>
          <w:szCs w:val="32"/>
          <w:highlight w:val="none"/>
          <w:u w:val="none"/>
        </w:rPr>
        <w:t>万元。其中，商品和服务支出</w:t>
      </w:r>
      <w:r>
        <w:rPr>
          <w:rFonts w:hint="eastAsia" w:ascii="Times New Roman" w:hAnsi="Times New Roman" w:eastAsia="方正仿宋_GBK" w:cs="Times New Roman"/>
          <w:szCs w:val="32"/>
          <w:highlight w:val="none"/>
          <w:u w:val="none"/>
          <w:lang w:val="en-US" w:eastAsia="zh-CN"/>
        </w:rPr>
        <w:t>19.56</w:t>
      </w:r>
      <w:r>
        <w:rPr>
          <w:rFonts w:hint="default" w:ascii="Times New Roman" w:hAnsi="Times New Roman" w:eastAsia="方正仿宋_GBK" w:cs="Times New Roman"/>
          <w:szCs w:val="32"/>
          <w:highlight w:val="none"/>
          <w:u w:val="none"/>
        </w:rPr>
        <w:t>万元，债务利息及费用支出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eastAsia"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eastAsia" w:ascii="Times New Roman" w:hAnsi="Times New Roman" w:eastAsia="方正仿宋_GBK" w:cs="Times New Roman"/>
          <w:szCs w:val="32"/>
          <w:highlight w:val="none"/>
          <w:u w:val="none"/>
          <w:lang w:val="en-US" w:eastAsia="zh-CN"/>
        </w:rPr>
        <w:t>无</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bookmarkEnd w:id="0"/>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5BA6B35"/>
    <w:rsid w:val="1772740C"/>
    <w:rsid w:val="1923131B"/>
    <w:rsid w:val="1D606D4C"/>
    <w:rsid w:val="232D4C74"/>
    <w:rsid w:val="2739626C"/>
    <w:rsid w:val="29A97F26"/>
    <w:rsid w:val="2AF15282"/>
    <w:rsid w:val="2EED096A"/>
    <w:rsid w:val="2F9905A6"/>
    <w:rsid w:val="38CD0256"/>
    <w:rsid w:val="39106EF0"/>
    <w:rsid w:val="3A457D6D"/>
    <w:rsid w:val="3C4B4F11"/>
    <w:rsid w:val="3D944A6D"/>
    <w:rsid w:val="43BD3D2A"/>
    <w:rsid w:val="44105A5D"/>
    <w:rsid w:val="462B2178"/>
    <w:rsid w:val="4F9F3625"/>
    <w:rsid w:val="580D5BA1"/>
    <w:rsid w:val="58744E8B"/>
    <w:rsid w:val="59F34F02"/>
    <w:rsid w:val="5EB25DC0"/>
    <w:rsid w:val="626C747B"/>
    <w:rsid w:val="65223CA6"/>
    <w:rsid w:val="65BD4A8A"/>
    <w:rsid w:val="67E0314A"/>
    <w:rsid w:val="6E9309F8"/>
    <w:rsid w:val="6FCD6184"/>
    <w:rsid w:val="6FDE1F16"/>
    <w:rsid w:val="6FE729EA"/>
    <w:rsid w:val="70AC28EB"/>
    <w:rsid w:val="73843C53"/>
    <w:rsid w:val="744501A4"/>
    <w:rsid w:val="79912566"/>
    <w:rsid w:val="7AF9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0</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2025-10-17T08:22:26Z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