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sz w:val="44"/>
          <w:szCs w:val="44"/>
          <w:highlight w:val="none"/>
          <w:u w:val="none"/>
        </w:rPr>
        <w:t>巴青县医疗保障局</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巴青县医疗保障局概况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巴青县医疗保障局</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巴青县医疗保障局</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 xml:space="preserve">第一部分 </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黑体" w:cs="Times New Roman"/>
          <w:b w:val="0"/>
          <w:bCs w:val="0"/>
          <w:szCs w:val="32"/>
          <w:highlight w:val="none"/>
          <w:u w:val="none"/>
        </w:rPr>
        <w:t>巴青县医疗保障局概况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default" w:ascii="Times New Roman" w:hAnsi="Times New Roman" w:eastAsia="方正仿宋_GBK" w:cs="Times New Roman"/>
          <w:szCs w:val="32"/>
          <w:highlight w:val="none"/>
          <w:u w:val="none"/>
          <w:lang w:val="en-US" w:eastAsia="zh-CN"/>
        </w:rPr>
        <w:t>医疗保障局</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主要职能：</w:t>
      </w:r>
      <w:r>
        <w:rPr>
          <w:rFonts w:hint="default" w:ascii="Times New Roman" w:hAnsi="Times New Roman" w:eastAsia="仿宋" w:cs="Times New Roman"/>
          <w:szCs w:val="32"/>
          <w:highlight w:val="none"/>
        </w:rPr>
        <w:t>主管全县医保工作：负责对全县医疗保障筹资和待遇政策完善动态调整机制，统筹城乡医疗保障待遇标准，贯彻自治区长期护理保险制度改革方案并组织实施；贯彻执行国家及自治区、市医疗保险、生育保险、医疗救助等医疗保障制度的法律法规、政策、规划和标准；组织实施自治区医疗保障基金监督管理相关办法建立健全医疗保障基金安全防控机制，推进医疗保障基金支付方式改革；负责全县医疗保障经办管理、公共服务体系和信息化建设。组织制定和完善全县异地就医管理和费用结算办法。全面落实医疗保障关系转移接续制度等问题。</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88" w:lineRule="exact"/>
        <w:ind w:firstLine="632"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县医疗保障局机关行政编制3名，部门领导</w:t>
      </w:r>
      <w:bookmarkStart w:id="0" w:name="_GoBack"/>
      <w:bookmarkEnd w:id="0"/>
      <w:r>
        <w:rPr>
          <w:rFonts w:hint="default" w:ascii="Times New Roman" w:hAnsi="Times New Roman" w:eastAsia="仿宋" w:cs="Times New Roman"/>
          <w:szCs w:val="32"/>
          <w:highlight w:val="none"/>
        </w:rPr>
        <w:t>职数3名，局长1名，副局长2名。</w:t>
      </w:r>
    </w:p>
    <w:p>
      <w:pPr>
        <w:spacing w:line="588" w:lineRule="exact"/>
        <w:ind w:firstLine="632"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 xml:space="preserve">    在在职实有人数5名，其中：局长1名（正科级），副局长2名（副科级3名）。</w:t>
      </w: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黑体" w:cs="Times New Roman"/>
          <w:b w:val="0"/>
          <w:bCs w:val="0"/>
          <w:szCs w:val="32"/>
          <w:highlight w:val="none"/>
          <w:u w:val="none"/>
        </w:rPr>
        <w:t>巴青县医疗保障局</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巴青县医疗保障局</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，一般公共预算财政拨款收入</w:t>
      </w:r>
      <w:r>
        <w:rPr>
          <w:rFonts w:hint="default" w:ascii="Times New Roman" w:hAnsi="Times New Roman" w:eastAsia="方正仿宋_GBK" w:cs="Times New Roman"/>
          <w:szCs w:val="32"/>
          <w:highlight w:val="none"/>
          <w:u w:val="none"/>
          <w:lang w:val="en-US" w:eastAsia="zh-CN"/>
        </w:rPr>
        <w:t>3,870.58</w:t>
      </w:r>
      <w:r>
        <w:rPr>
          <w:rFonts w:hint="default" w:ascii="Times New Roman" w:hAnsi="Times New Roman" w:eastAsia="方正仿宋_GBK" w:cs="Times New Roman"/>
          <w:szCs w:val="32"/>
          <w:highlight w:val="none"/>
          <w:u w:val="none"/>
        </w:rPr>
        <w:t>万元，本年支出合计</w:t>
      </w:r>
      <w:r>
        <w:rPr>
          <w:rFonts w:hint="default" w:ascii="Times New Roman" w:hAnsi="Times New Roman" w:eastAsia="方正仿宋_GBK" w:cs="Times New Roman"/>
          <w:szCs w:val="32"/>
          <w:highlight w:val="none"/>
          <w:u w:val="none"/>
          <w:lang w:val="en-US" w:eastAsia="zh-CN"/>
        </w:rPr>
        <w:t>3,870.58</w:t>
      </w:r>
      <w:r>
        <w:rPr>
          <w:rFonts w:hint="default" w:ascii="Times New Roman" w:hAnsi="Times New Roman" w:eastAsia="方正仿宋_GBK" w:cs="Times New Roman"/>
          <w:szCs w:val="32"/>
          <w:highlight w:val="none"/>
          <w:u w:val="none"/>
        </w:rPr>
        <w:t>万元，年末财政拨款结转和结余资金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default" w:ascii="Times New Roman" w:hAnsi="Times New Roman" w:eastAsia="方正仿宋_GBK" w:cs="Times New Roman"/>
          <w:szCs w:val="32"/>
          <w:highlight w:val="none"/>
          <w:u w:val="none"/>
          <w:lang w:val="en-US" w:eastAsia="zh-CN"/>
        </w:rPr>
        <w:t>3,870.58</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3,870.58</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default" w:ascii="Times New Roman" w:hAnsi="Times New Roman" w:eastAsia="方正仿宋_GBK" w:cs="Times New Roman"/>
          <w:szCs w:val="32"/>
          <w:highlight w:val="none"/>
          <w:u w:val="none"/>
          <w:lang w:val="en-US" w:eastAsia="zh-CN"/>
        </w:rPr>
        <w:t>3,870.58</w:t>
      </w:r>
      <w:r>
        <w:rPr>
          <w:rFonts w:hint="default" w:ascii="Times New Roman" w:hAnsi="Times New Roman" w:eastAsia="方正仿宋_GBK" w:cs="Times New Roman"/>
          <w:szCs w:val="32"/>
          <w:highlight w:val="none"/>
          <w:u w:val="none"/>
        </w:rPr>
        <w:t>万元。其中，基本支出</w:t>
      </w:r>
      <w:r>
        <w:rPr>
          <w:rFonts w:hint="default" w:ascii="Times New Roman" w:hAnsi="Times New Roman" w:eastAsia="方正仿宋_GBK" w:cs="Times New Roman"/>
          <w:szCs w:val="32"/>
          <w:highlight w:val="none"/>
          <w:u w:val="none"/>
          <w:lang w:val="en-US" w:eastAsia="zh-CN"/>
        </w:rPr>
        <w:t>164.09</w:t>
      </w:r>
      <w:r>
        <w:rPr>
          <w:rFonts w:hint="default" w:ascii="Times New Roman" w:hAnsi="Times New Roman" w:eastAsia="方正仿宋_GBK" w:cs="Times New Roman"/>
          <w:szCs w:val="32"/>
          <w:highlight w:val="none"/>
          <w:u w:val="none"/>
        </w:rPr>
        <w:t>万元，项目支出</w:t>
      </w:r>
      <w:r>
        <w:rPr>
          <w:rFonts w:hint="default" w:ascii="Times New Roman" w:hAnsi="Times New Roman" w:eastAsia="方正仿宋_GBK" w:cs="Times New Roman"/>
          <w:szCs w:val="32"/>
          <w:highlight w:val="none"/>
          <w:u w:val="none"/>
          <w:lang w:val="en-US" w:eastAsia="zh-CN"/>
        </w:rPr>
        <w:t>3,706.5</w:t>
      </w:r>
      <w:r>
        <w:rPr>
          <w:rFonts w:hint="default" w:ascii="Times New Roman" w:hAnsi="Times New Roman" w:eastAsia="方正仿宋_GBK" w:cs="Times New Roman"/>
          <w:szCs w:val="32"/>
          <w:highlight w:val="none"/>
          <w:u w:val="none"/>
        </w:rPr>
        <w:t>万元，上缴上级支出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w:t>
      </w:r>
      <w:r>
        <w:rPr>
          <w:rFonts w:hint="default" w:ascii="Times New Roman" w:hAnsi="Times New Roman" w:eastAsia="方正仿宋_GBK" w:cs="Times New Roman"/>
          <w:szCs w:val="32"/>
          <w:highlight w:val="none"/>
          <w:u w:val="none"/>
          <w:lang w:val="en-US" w:eastAsia="zh-CN"/>
        </w:rPr>
        <w:t>3,870.58</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3,870.58</w:t>
      </w:r>
      <w:r>
        <w:rPr>
          <w:rFonts w:hint="default" w:ascii="Times New Roman" w:hAnsi="Times New Roman" w:eastAsia="方正仿宋_GBK" w:cs="Times New Roman"/>
          <w:szCs w:val="32"/>
          <w:highlight w:val="none"/>
          <w:u w:val="none"/>
        </w:rPr>
        <w:t>万元，政府性基金预算财政拨款收入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default" w:ascii="Times New Roman" w:hAnsi="Times New Roman" w:eastAsia="方正仿宋_GBK" w:cs="Times New Roman"/>
          <w:szCs w:val="32"/>
          <w:highlight w:val="none"/>
          <w:u w:val="none"/>
          <w:lang w:val="en-US" w:eastAsia="zh-CN"/>
        </w:rPr>
        <w:t>3,870.58</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default" w:ascii="Times New Roman" w:hAnsi="Times New Roman" w:eastAsia="方正仿宋_GBK" w:cs="Times New Roman"/>
          <w:szCs w:val="32"/>
          <w:highlight w:val="none"/>
          <w:u w:val="none"/>
          <w:lang w:val="en-US" w:eastAsia="zh-CN"/>
        </w:rPr>
        <w:t>3,870.58</w:t>
      </w:r>
      <w:r>
        <w:rPr>
          <w:rFonts w:hint="default" w:ascii="Times New Roman" w:hAnsi="Times New Roman" w:eastAsia="方正仿宋_GBK" w:cs="Times New Roman"/>
          <w:szCs w:val="32"/>
          <w:highlight w:val="none"/>
          <w:u w:val="none"/>
        </w:rPr>
        <w:t>万元。其中，一般公共预算财政拨款支出</w:t>
      </w:r>
      <w:r>
        <w:rPr>
          <w:rFonts w:hint="default" w:ascii="Times New Roman" w:hAnsi="Times New Roman" w:eastAsia="方正仿宋_GBK" w:cs="Times New Roman"/>
          <w:szCs w:val="32"/>
          <w:highlight w:val="none"/>
          <w:u w:val="none"/>
          <w:lang w:val="en-US" w:eastAsia="zh-CN"/>
        </w:rPr>
        <w:t>3,870.58</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万元。本年财政拨款支出合计</w:t>
      </w:r>
      <w:r>
        <w:rPr>
          <w:rFonts w:hint="default" w:ascii="Times New Roman" w:hAnsi="Times New Roman" w:eastAsia="方正仿宋_GBK" w:cs="Times New Roman"/>
          <w:szCs w:val="32"/>
          <w:highlight w:val="none"/>
          <w:u w:val="none"/>
          <w:lang w:val="en-US" w:eastAsia="zh-CN"/>
        </w:rPr>
        <w:t>3,870.58</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 。</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default" w:ascii="Times New Roman" w:hAnsi="Times New Roman" w:eastAsia="方正仿宋_GBK" w:cs="Times New Roman"/>
          <w:szCs w:val="32"/>
          <w:highlight w:val="none"/>
          <w:u w:val="none"/>
          <w:lang w:val="en-US" w:eastAsia="zh-CN"/>
        </w:rPr>
        <w:t>156.7</w:t>
      </w:r>
      <w:r>
        <w:rPr>
          <w:rFonts w:hint="default" w:ascii="Times New Roman" w:hAnsi="Times New Roman" w:eastAsia="方正仿宋_GBK" w:cs="Times New Roman"/>
          <w:szCs w:val="32"/>
          <w:highlight w:val="none"/>
          <w:u w:val="none"/>
        </w:rPr>
        <w:t>万元。其中，工资福利支出</w:t>
      </w:r>
      <w:r>
        <w:rPr>
          <w:rFonts w:hint="default" w:ascii="Times New Roman" w:hAnsi="Times New Roman" w:eastAsia="方正仿宋_GBK" w:cs="Times New Roman"/>
          <w:szCs w:val="32"/>
          <w:highlight w:val="none"/>
          <w:u w:val="none"/>
          <w:lang w:val="en-US" w:eastAsia="zh-CN"/>
        </w:rPr>
        <w:t>156.7</w:t>
      </w:r>
      <w:r>
        <w:rPr>
          <w:rFonts w:hint="default" w:ascii="Times New Roman" w:hAnsi="Times New Roman" w:eastAsia="方正仿宋_GBK" w:cs="Times New Roman"/>
          <w:szCs w:val="32"/>
          <w:highlight w:val="none"/>
          <w:u w:val="none"/>
        </w:rPr>
        <w:t>万元，对个人和家庭的补助</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default" w:ascii="Times New Roman" w:hAnsi="Times New Roman" w:eastAsia="方正仿宋_GBK" w:cs="Times New Roman"/>
          <w:szCs w:val="32"/>
          <w:highlight w:val="none"/>
          <w:u w:val="none"/>
          <w:lang w:val="en-US" w:eastAsia="zh-CN"/>
        </w:rPr>
        <w:t>7.38</w:t>
      </w:r>
      <w:r>
        <w:rPr>
          <w:rFonts w:hint="default" w:ascii="Times New Roman" w:hAnsi="Times New Roman" w:eastAsia="方正仿宋_GBK" w:cs="Times New Roman"/>
          <w:szCs w:val="32"/>
          <w:highlight w:val="none"/>
          <w:u w:val="none"/>
        </w:rPr>
        <w:t>万元。其中，商品和服务支出</w:t>
      </w:r>
      <w:r>
        <w:rPr>
          <w:rFonts w:hint="default" w:ascii="Times New Roman" w:hAnsi="Times New Roman" w:eastAsia="方正仿宋_GBK" w:cs="Times New Roman"/>
          <w:szCs w:val="32"/>
          <w:highlight w:val="none"/>
          <w:u w:val="none"/>
          <w:lang w:val="en-US" w:eastAsia="zh-CN"/>
        </w:rPr>
        <w:t>7.38</w:t>
      </w:r>
      <w:r>
        <w:rPr>
          <w:rFonts w:hint="default" w:ascii="Times New Roman" w:hAnsi="Times New Roman" w:eastAsia="方正仿宋_GBK" w:cs="Times New Roman"/>
          <w:szCs w:val="32"/>
          <w:highlight w:val="none"/>
          <w:u w:val="none"/>
        </w:rPr>
        <w:t>万元，债务利息及费用支出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default" w:ascii="Times New Roman" w:hAnsi="Times New Roman" w:eastAsia="方正仿宋_GBK" w:cs="Times New Roman"/>
          <w:szCs w:val="32"/>
          <w:highlight w:val="none"/>
          <w:u w:val="none"/>
          <w:lang w:val="en-US" w:eastAsia="zh-CN"/>
        </w:rPr>
        <w:t>无</w:t>
      </w:r>
      <w:r>
        <w:rPr>
          <w:rFonts w:hint="default" w:ascii="Times New Roman" w:hAnsi="Times New Roman" w:eastAsia="方正仿宋_GBK" w:cs="Times New Roman"/>
          <w:szCs w:val="32"/>
          <w:highlight w:val="none"/>
          <w:u w:val="none"/>
        </w:rPr>
        <w:t>公用车辆</w:t>
      </w:r>
      <w:r>
        <w:rPr>
          <w:rFonts w:hint="default" w:ascii="Times New Roman" w:hAnsi="Times New Roman" w:eastAsia="方正仿宋_GBK" w:cs="Times New Roman"/>
          <w:szCs w:val="32"/>
          <w:highlight w:val="none"/>
          <w:u w:val="none"/>
          <w:lang w:val="en-US" w:eastAsia="zh-CN"/>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C2023B8"/>
    <w:rsid w:val="0C3476A1"/>
    <w:rsid w:val="0CD66F75"/>
    <w:rsid w:val="0CFB0E04"/>
    <w:rsid w:val="0E427E43"/>
    <w:rsid w:val="104F7BF5"/>
    <w:rsid w:val="15BA6B35"/>
    <w:rsid w:val="1772740C"/>
    <w:rsid w:val="1D606D4C"/>
    <w:rsid w:val="232D4C74"/>
    <w:rsid w:val="242755E0"/>
    <w:rsid w:val="2739626C"/>
    <w:rsid w:val="29A97F26"/>
    <w:rsid w:val="2AF15282"/>
    <w:rsid w:val="2B50632F"/>
    <w:rsid w:val="2EED096A"/>
    <w:rsid w:val="2F9905A6"/>
    <w:rsid w:val="2FD512F2"/>
    <w:rsid w:val="38CD0256"/>
    <w:rsid w:val="39106EF0"/>
    <w:rsid w:val="3A457D6D"/>
    <w:rsid w:val="3C4B4F11"/>
    <w:rsid w:val="3D944A6D"/>
    <w:rsid w:val="43BD3D2A"/>
    <w:rsid w:val="44105A5D"/>
    <w:rsid w:val="462B2178"/>
    <w:rsid w:val="4F9F3625"/>
    <w:rsid w:val="571D7DAD"/>
    <w:rsid w:val="580D5BA1"/>
    <w:rsid w:val="58744E8B"/>
    <w:rsid w:val="5EB25DC0"/>
    <w:rsid w:val="5F1106AC"/>
    <w:rsid w:val="626C747B"/>
    <w:rsid w:val="65223CA6"/>
    <w:rsid w:val="65BD4A8A"/>
    <w:rsid w:val="67E0314A"/>
    <w:rsid w:val="6D806BB4"/>
    <w:rsid w:val="6E9309F8"/>
    <w:rsid w:val="6FCD6184"/>
    <w:rsid w:val="6FE729EA"/>
    <w:rsid w:val="70AC28EB"/>
    <w:rsid w:val="73843C53"/>
    <w:rsid w:val="744501A4"/>
    <w:rsid w:val="79912566"/>
    <w:rsid w:val="7D756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0</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2025-10-21T03:14:36Z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