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巴青县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政法委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</w:rPr>
        <w:t>年度部门决算</w:t>
      </w:r>
    </w:p>
    <w:p>
      <w:pPr>
        <w:spacing w:line="576" w:lineRule="exact"/>
        <w:jc w:val="center"/>
        <w:rPr>
          <w:rFonts w:hint="default" w:ascii="Times New Roman" w:hAnsi="Times New Roman" w:eastAsia="方正仿宋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szCs w:val="32"/>
          <w:highlight w:val="none"/>
          <w:u w:val="none"/>
        </w:rPr>
        <w:t>目  录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第一部分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政法委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b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第二部分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政法委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年度部门决算表（见附表1）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第三部分  巴青县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政法委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/>
          <w:szCs w:val="32"/>
          <w:highlight w:val="none"/>
          <w:u w:val="none"/>
        </w:rPr>
        <w:t>第四部分  名词解释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sectPr>
          <w:pgSz w:w="11906" w:h="16838"/>
          <w:pgMar w:top="2098" w:right="1474" w:bottom="1985" w:left="1588" w:header="851" w:footer="1418" w:gutter="0"/>
          <w:pgNumType w:fmt="numberInDash"/>
          <w:cols w:space="425" w:num="1"/>
          <w:docGrid w:type="linesAndChars" w:linePitch="579" w:charSpace="-849"/>
        </w:sect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第一部分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政法委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概况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一、部门决算单位构成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巴青县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政法委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纳入本部门预算汇编范围的独立核算单位共1个。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部门职责和机构设置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（一）部门职责</w:t>
      </w:r>
    </w:p>
    <w:p>
      <w:pPr>
        <w:spacing w:line="588" w:lineRule="exact"/>
        <w:ind w:firstLine="632" w:firstLineChars="200"/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主要职能：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贯彻习近平新时代中国特色社会主义思想，推动完善和落实政治轮训和政治督察制度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对全县政法工作研究提出总体要求，研究协调政法单位之前、政法单位和有关部门、乡镇之前有关重大事项，推进平安巴青、法治巴青建设，加强过硬政法队伍建设，深化智能化建设，统一全县政法单位思想和行动。统筹协调推进全县政法信息化建设工作，研究分析政法信息基础建设共建共享、互联互通和开放兼容的政策意见，指导政法单位信息化平台建设工作等职责任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（二）机构设置</w:t>
      </w:r>
    </w:p>
    <w:p>
      <w:pPr>
        <w:spacing w:line="576" w:lineRule="exact"/>
        <w:ind w:firstLine="631"/>
        <w:rPr>
          <w:rFonts w:hint="default" w:ascii="Times New Roman" w:hAnsi="Times New Roman" w:eastAsia="方正仿宋简体" w:cs="Times New Roman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政法委机关行政编制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6名，</w:t>
      </w:r>
      <w:r>
        <w:rPr>
          <w:rFonts w:hint="default" w:ascii="Times New Roman" w:hAnsi="Times New Roman" w:eastAsia="方正仿宋简体" w:cs="Times New Roman"/>
          <w:szCs w:val="32"/>
          <w:highlight w:val="none"/>
        </w:rPr>
        <w:t>部门领导职数</w:t>
      </w:r>
      <w:r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Cs w:val="32"/>
          <w:highlight w:val="none"/>
        </w:rPr>
        <w:t>名</w:t>
      </w:r>
      <w:r>
        <w:rPr>
          <w:rFonts w:hint="default" w:ascii="Times New Roman" w:hAnsi="Times New Roman" w:eastAsia="方正仿宋简体" w:cs="Times New Roman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  <w:t>书记1名，副书记5名</w:t>
      </w:r>
      <w:r>
        <w:rPr>
          <w:rFonts w:hint="default" w:ascii="Times New Roman" w:hAnsi="Times New Roman" w:eastAsia="方正仿宋简体" w:cs="Times New Roman"/>
          <w:szCs w:val="32"/>
          <w:highlight w:val="none"/>
          <w:lang w:eastAsia="zh-CN"/>
        </w:rPr>
        <w:t>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eastAsia="zh-CN"/>
        </w:rPr>
        <w:t>在职实有人数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lang w:val="en-US" w:eastAsia="zh-CN"/>
        </w:rPr>
        <w:t>8名，其中：常务副书记1名（正科级），副书记3名（1名正科级、2名副科级），四级主任科员0名，科员4名</w:t>
      </w:r>
      <w:r>
        <w:rPr>
          <w:rFonts w:hint="default" w:ascii="Times New Roman" w:hAnsi="Times New Roman" w:eastAsia="方正仿宋简体" w:cs="Times New Roman"/>
          <w:szCs w:val="32"/>
          <w:highlight w:val="none"/>
          <w:lang w:val="en-US" w:eastAsia="zh-CN"/>
        </w:rPr>
        <w:t>。</w:t>
      </w:r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第二部分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政法委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年度部门决算表</w:t>
      </w: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（见附表1）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一、收入支出决算总表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二、收入决算表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三、支出决算表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四、财政拨款收入支出决算总表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五、一般公共预算财政拨款支出决算表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六、一般公共预算财政拨款基本支出决算明细表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七、政府性基金预算财政拨款收入支出决算表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八、国有资本经营预算财政拨款支出决算表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、财政拨款“三公”经费支出决算表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both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第三部分  巴青县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政法委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年度部门决算数据说明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一、收入支出决算总体情况说明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年年初结转结余资金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1,331.25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1,331.25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万元，年末财政拨款结转和结余资金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万元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二、收入决算情况说明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年收入合计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1,331.25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1,331.25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万元，上级补助收入0万元，事业收入0万元，经营收入0万元，附属单位上缴收入0万元，其他收入0万元。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1,331.25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万元。其中，基本支出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307.09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万元，项目支出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1,024.15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万元，上缴上级支出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万元，经营支出0万元，对附属单位补助支出0万元。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四、财政拨款收入支出决算情况说明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年年初财政拨款结转和结余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万元，本年财政拨款收入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1,331.25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 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1,331.25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万元，国有资本经营财政拨款收入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万元。本年财政拨款收入合计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1,331.25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1,331.25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万元。其中，一般公共预算财政拨款支出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1,331.25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万元，政府性基金预算财政拨款支出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万元，国有资本经营财政拨款支出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万元。本年年末财政拨款结转和结余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资金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万元。本年财政拨款支出合计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1,331.25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五、一般公共预算财政拨款“三公”经费支出决算情况说明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年一般公共预算财政拨款“三公”经费支出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 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六、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年度机关运行情况说明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年人员经费支出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291.41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万元。其中，工资福利支出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291.41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万元，对个人和家庭的补助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2024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年公用经费支出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15.68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万元。其中，商品和服务支出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15.68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万元，债务利息及费用支出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万元，资本性支出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万元，其他支出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万元。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七、政府采购情况说明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年无政府采购项目。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八、国有资产占有使用情况说明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有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公用车辆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1辆，由本单位自行管理。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  <w:lang w:val="en-US" w:eastAsia="zh-CN"/>
        </w:rPr>
        <w:t>九</w:t>
      </w: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、债务情况说明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年无政府债务。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十、重点、重大项目信息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我单位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eastAsia="zh-CN"/>
        </w:rPr>
        <w:t>202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年无重点、重大项目。</w:t>
      </w: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bookmarkStart w:id="0" w:name="_GoBack"/>
      <w:bookmarkEnd w:id="0"/>
    </w:p>
    <w:p>
      <w:pPr>
        <w:spacing w:line="576" w:lineRule="exact"/>
        <w:jc w:val="both"/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</w:pPr>
    </w:p>
    <w:p>
      <w:pPr>
        <w:spacing w:line="576" w:lineRule="exact"/>
        <w:jc w:val="center"/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</w:rPr>
        <w:t>第四部分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/>
          <w:bCs/>
          <w:szCs w:val="32"/>
          <w:highlight w:val="none"/>
          <w:u w:val="none"/>
        </w:rPr>
        <w:t>名词解释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一、一般公共预算拨款收入：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指财政部门当年拨付的资金。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二、基本支出：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是指为保障机构正常运转，完成日常工作任务而发生的人员支出和共用支出。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三、“三公经费”：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纳入财政预决算管理的“三公”经费，是指部门用财政拨款安排的因公出国（境）费、公务用车购置及运行费和公务接待费。</w:t>
      </w:r>
    </w:p>
    <w:p>
      <w:pPr>
        <w:spacing w:line="576" w:lineRule="exact"/>
        <w:ind w:firstLine="632" w:firstLineChars="200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  <w:r>
        <w:rPr>
          <w:rFonts w:hint="default" w:ascii="Times New Roman" w:hAnsi="Times New Roman" w:eastAsia="方正楷体简体" w:cs="Times New Roman"/>
          <w:szCs w:val="32"/>
          <w:highlight w:val="none"/>
          <w:u w:val="none"/>
        </w:rPr>
        <w:t>四、机关运行经费：</w:t>
      </w:r>
      <w:r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  <w:t>是指各部门的公用经费，包括办公及印刷费、邮电费、差旅费、会议费、福利费、日常维修费、水电费、工会经费、公务接待费、公务用车运行费及其他费用。</w:t>
      </w:r>
    </w:p>
    <w:p>
      <w:pPr>
        <w:spacing w:line="576" w:lineRule="exact"/>
        <w:rPr>
          <w:rFonts w:hint="default" w:ascii="Times New Roman" w:hAnsi="Times New Roman" w:eastAsia="方正仿宋_GBK" w:cs="Times New Roman"/>
          <w:szCs w:val="32"/>
          <w:highlight w:val="none"/>
          <w:u w:val="none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numberInDash" w:start="1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2477770</wp:posOffset>
              </wp:positionH>
              <wp:positionV relativeFrom="paragraph">
                <wp:posOffset>0</wp:posOffset>
              </wp:positionV>
              <wp:extent cx="44132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32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1pt;margin-top:0pt;height:144pt;width:34.75pt;mso-position-horizontal-relative:margin;z-index:251659264;mso-width-relative:page;mso-height-relative:page;" filled="f" stroked="f" coordsize="21600,21600" o:gfxdata="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42yXvWAAAACAEA&#10;AA8AAAAAAAAAAQAgAAAAIgAAAGRycy9kb3ducmV2LnhtbFBLAQIUABQAAAAIAIdO4kCSU0n6HAIA&#10;ABQEAAAOAAAAAAAAAAEAIAAAACUBAABkcnMvZTJvRG9jLnhtbFBLBQYAAAAABgAGAFkBAACzBQAA&#10;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VlZGQ4YTRjOWFkNmQ1M2I0YWJjYWUyZWRiNjQwNzUifQ=="/>
  </w:docVars>
  <w:rsids>
    <w:rsidRoot w:val="00BD6503"/>
    <w:rsid w:val="00037884"/>
    <w:rsid w:val="0007665C"/>
    <w:rsid w:val="000D46E4"/>
    <w:rsid w:val="001076DA"/>
    <w:rsid w:val="001168A7"/>
    <w:rsid w:val="001D459B"/>
    <w:rsid w:val="00227802"/>
    <w:rsid w:val="00247A27"/>
    <w:rsid w:val="0026485A"/>
    <w:rsid w:val="00274DC3"/>
    <w:rsid w:val="00281225"/>
    <w:rsid w:val="002B4237"/>
    <w:rsid w:val="002C3EB5"/>
    <w:rsid w:val="0032265F"/>
    <w:rsid w:val="00367D2D"/>
    <w:rsid w:val="00372D79"/>
    <w:rsid w:val="0039579C"/>
    <w:rsid w:val="003B6733"/>
    <w:rsid w:val="004826E3"/>
    <w:rsid w:val="004A737F"/>
    <w:rsid w:val="004A7F9F"/>
    <w:rsid w:val="004C2901"/>
    <w:rsid w:val="004E29C2"/>
    <w:rsid w:val="004F1C33"/>
    <w:rsid w:val="00506C8E"/>
    <w:rsid w:val="00524803"/>
    <w:rsid w:val="00566324"/>
    <w:rsid w:val="005B7F37"/>
    <w:rsid w:val="00657E6C"/>
    <w:rsid w:val="006740AD"/>
    <w:rsid w:val="0077198D"/>
    <w:rsid w:val="00792B41"/>
    <w:rsid w:val="00796391"/>
    <w:rsid w:val="007C0976"/>
    <w:rsid w:val="00804FA8"/>
    <w:rsid w:val="00844FCD"/>
    <w:rsid w:val="008F65A6"/>
    <w:rsid w:val="00930C06"/>
    <w:rsid w:val="00945FCF"/>
    <w:rsid w:val="00995FA3"/>
    <w:rsid w:val="009C73B9"/>
    <w:rsid w:val="009E37B1"/>
    <w:rsid w:val="00A82CBE"/>
    <w:rsid w:val="00AE5B27"/>
    <w:rsid w:val="00AF06EC"/>
    <w:rsid w:val="00B35B08"/>
    <w:rsid w:val="00BA6E10"/>
    <w:rsid w:val="00BB4A02"/>
    <w:rsid w:val="00BD4B04"/>
    <w:rsid w:val="00BD6503"/>
    <w:rsid w:val="00C32BA5"/>
    <w:rsid w:val="00C60103"/>
    <w:rsid w:val="00C645DF"/>
    <w:rsid w:val="00C92FBF"/>
    <w:rsid w:val="00C94D14"/>
    <w:rsid w:val="00CC4899"/>
    <w:rsid w:val="00CF54C0"/>
    <w:rsid w:val="00D029FB"/>
    <w:rsid w:val="00D34855"/>
    <w:rsid w:val="00D45A22"/>
    <w:rsid w:val="00D6631F"/>
    <w:rsid w:val="00D81276"/>
    <w:rsid w:val="00DB6B0E"/>
    <w:rsid w:val="00DF3E56"/>
    <w:rsid w:val="00E44AF6"/>
    <w:rsid w:val="00E91CE7"/>
    <w:rsid w:val="00EB4C93"/>
    <w:rsid w:val="00EF1725"/>
    <w:rsid w:val="00F33A91"/>
    <w:rsid w:val="00FB76C8"/>
    <w:rsid w:val="030A0C27"/>
    <w:rsid w:val="0BFC6F7F"/>
    <w:rsid w:val="0C2023B8"/>
    <w:rsid w:val="0C3476A1"/>
    <w:rsid w:val="0CD66F75"/>
    <w:rsid w:val="0CFB0E04"/>
    <w:rsid w:val="0E427E43"/>
    <w:rsid w:val="0F0D4299"/>
    <w:rsid w:val="104F7BF5"/>
    <w:rsid w:val="15BA6B35"/>
    <w:rsid w:val="1772740C"/>
    <w:rsid w:val="1BAB18C9"/>
    <w:rsid w:val="1D606D4C"/>
    <w:rsid w:val="232D4C74"/>
    <w:rsid w:val="2739626C"/>
    <w:rsid w:val="29A97F26"/>
    <w:rsid w:val="2AF15282"/>
    <w:rsid w:val="2EED096A"/>
    <w:rsid w:val="2F9905A6"/>
    <w:rsid w:val="38CD0256"/>
    <w:rsid w:val="39106EF0"/>
    <w:rsid w:val="3A457D6D"/>
    <w:rsid w:val="3C4B4F11"/>
    <w:rsid w:val="3D944A6D"/>
    <w:rsid w:val="40B52580"/>
    <w:rsid w:val="43BD3D2A"/>
    <w:rsid w:val="44105A5D"/>
    <w:rsid w:val="462B2178"/>
    <w:rsid w:val="4F9F3625"/>
    <w:rsid w:val="580D5BA1"/>
    <w:rsid w:val="58744E8B"/>
    <w:rsid w:val="5EB25DC0"/>
    <w:rsid w:val="626C747B"/>
    <w:rsid w:val="65223CA6"/>
    <w:rsid w:val="65BD4A8A"/>
    <w:rsid w:val="67E0314A"/>
    <w:rsid w:val="6E9309F8"/>
    <w:rsid w:val="6FCD6184"/>
    <w:rsid w:val="6FE729EA"/>
    <w:rsid w:val="70AC28EB"/>
    <w:rsid w:val="73843C53"/>
    <w:rsid w:val="744501A4"/>
    <w:rsid w:val="7991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next w:val="1"/>
    <w:link w:val="9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  <w14:textFill>
        <w14:solidFill>
          <w14:schemeClr w14:val="accent1"/>
        </w14:solidFill>
      </w14:textFill>
    </w:rPr>
  </w:style>
  <w:style w:type="paragraph" w:styleId="3">
    <w:name w:val="heading 2"/>
    <w:next w:val="1"/>
    <w:link w:val="10"/>
    <w:unhideWhenUsed/>
    <w:qFormat/>
    <w:uiPriority w:val="9"/>
    <w:pPr>
      <w:keepNext/>
      <w:keepLines/>
      <w:spacing w:before="120" w:after="120"/>
      <w:outlineLvl w:val="1"/>
    </w:pPr>
    <w:rPr>
      <w:rFonts w:eastAsia="Microsoft YaHei UI" w:asciiTheme="minorHAnsi" w:hAnsiTheme="minorHAnsi" w:cstheme="minorBidi"/>
      <w:b/>
      <w:bCs/>
      <w:color w:val="1F497D" w:themeColor="text2"/>
      <w:sz w:val="26"/>
      <w:szCs w:val="26"/>
      <w:lang w:val="en-US" w:eastAsia="ja-JP" w:bidi="ar-SA"/>
      <w14:textFill>
        <w14:solidFill>
          <w14:schemeClr w14:val="tx2"/>
        </w14:solidFill>
      </w14:textFill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  <w14:textFill>
        <w14:solidFill>
          <w14:schemeClr w14:val="accent1"/>
        </w14:solidFill>
      </w14:textFill>
    </w:rPr>
  </w:style>
  <w:style w:type="character" w:customStyle="1" w:styleId="10">
    <w:name w:val="标题 2 Char"/>
    <w:basedOn w:val="8"/>
    <w:link w:val="3"/>
    <w:qFormat/>
    <w:uiPriority w:val="9"/>
    <w:rPr>
      <w:rFonts w:eastAsia="Microsoft YaHei UI"/>
      <w:b/>
      <w:bCs/>
      <w:color w:val="1F497D" w:themeColor="text2"/>
      <w:kern w:val="0"/>
      <w:sz w:val="26"/>
      <w:szCs w:val="26"/>
      <w:lang w:eastAsia="ja-JP"/>
      <w14:textFill>
        <w14:solidFill>
          <w14:schemeClr w14:val="tx2"/>
        </w14:solidFill>
      </w14:textFill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1614E5-6592-40E0-B01A-6D6B56A5909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715</Words>
  <Characters>4082</Characters>
  <Lines>34</Lines>
  <Paragraphs>9</Paragraphs>
  <TotalTime>0</TotalTime>
  <ScaleCrop>false</ScaleCrop>
  <LinksUpToDate>false</LinksUpToDate>
  <CharactersWithSpaces>4788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2020-08-14T09:05:00Z</dcterms:created>
  <dc:creator>ds</dc:creator>
  <cp:lastModifiedBy>Administrator</cp:lastModifiedBy>
  <dcterms:modified xsi:type="dcterms:W3CDTF">2025-10-21T03:15:52Z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B36C5C413B5B430EB5CB2A0CCE2C8593</vt:lpwstr>
  </property>
</Properties>
</file>