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default" w:ascii="Times New Roman" w:hAnsi="Times New Roman" w:eastAsia="方正小标宋_GBK" w:cs="Times New Roman"/>
          <w:sz w:val="44"/>
          <w:szCs w:val="44"/>
          <w:highlight w:val="none"/>
          <w:u w:val="none"/>
        </w:rPr>
      </w:pPr>
      <w:bookmarkStart w:id="0" w:name="_GoBack"/>
      <w:r>
        <w:rPr>
          <w:rFonts w:hint="default" w:ascii="Times New Roman" w:hAnsi="Times New Roman" w:eastAsia="方正小标宋_GBK" w:cs="Times New Roman"/>
          <w:sz w:val="44"/>
          <w:szCs w:val="44"/>
          <w:highlight w:val="none"/>
          <w:u w:val="none"/>
          <w:lang w:val="en-US" w:eastAsia="zh-CN"/>
        </w:rPr>
        <w:t>巴青县直属机关工作委员会</w:t>
      </w:r>
      <w:r>
        <w:rPr>
          <w:rFonts w:hint="default" w:ascii="Times New Roman" w:hAnsi="Times New Roman" w:eastAsia="方正小标宋_GBK" w:cs="Times New Roman"/>
          <w:sz w:val="44"/>
          <w:szCs w:val="44"/>
          <w:highlight w:val="none"/>
          <w:u w:val="none"/>
          <w:lang w:eastAsia="zh-CN"/>
        </w:rPr>
        <w:t>202</w:t>
      </w:r>
      <w:r>
        <w:rPr>
          <w:rFonts w:hint="default" w:ascii="Times New Roman" w:hAnsi="Times New Roman" w:eastAsia="方正小标宋_GBK" w:cs="Times New Roman"/>
          <w:sz w:val="44"/>
          <w:szCs w:val="44"/>
          <w:highlight w:val="none"/>
          <w:u w:val="none"/>
          <w:lang w:val="en-US" w:eastAsia="zh-CN"/>
        </w:rPr>
        <w:t>4</w:t>
      </w:r>
      <w:r>
        <w:rPr>
          <w:rFonts w:hint="default" w:ascii="Times New Roman" w:hAnsi="Times New Roman" w:eastAsia="方正小标宋_GBK" w:cs="Times New Roman"/>
          <w:sz w:val="44"/>
          <w:szCs w:val="44"/>
          <w:highlight w:val="none"/>
          <w:u w:val="none"/>
        </w:rPr>
        <w:t>年度部门决算</w:t>
      </w:r>
    </w:p>
    <w:p>
      <w:pPr>
        <w:spacing w:line="576" w:lineRule="exact"/>
        <w:jc w:val="center"/>
        <w:rPr>
          <w:rFonts w:hint="default" w:ascii="Times New Roman" w:hAnsi="Times New Roman" w:eastAsia="方正仿宋简体" w:cs="Times New Roman"/>
          <w:b/>
          <w:szCs w:val="32"/>
          <w:highlight w:val="none"/>
          <w:u w:val="none"/>
        </w:rPr>
      </w:pPr>
      <w:r>
        <w:rPr>
          <w:rFonts w:hint="default" w:ascii="Times New Roman" w:hAnsi="Times New Roman" w:eastAsia="方正仿宋_GBK" w:cs="Times New Roman"/>
          <w:b/>
          <w:szCs w:val="32"/>
          <w:highlight w:val="none"/>
          <w:u w:val="none"/>
        </w:rPr>
        <w:t>目  录</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 xml:space="preserve">第一部分  </w:t>
      </w:r>
      <w:r>
        <w:rPr>
          <w:rFonts w:hint="default" w:ascii="Times New Roman" w:hAnsi="Times New Roman" w:eastAsia="黑体" w:cs="Times New Roman"/>
          <w:b w:val="0"/>
          <w:bCs/>
          <w:szCs w:val="32"/>
          <w:highlight w:val="none"/>
          <w:u w:val="none"/>
          <w:lang w:val="en-US" w:eastAsia="zh-CN"/>
        </w:rPr>
        <w:t>巴青县直属机关工作委员会</w:t>
      </w:r>
      <w:r>
        <w:rPr>
          <w:rFonts w:hint="default" w:ascii="Times New Roman" w:hAnsi="Times New Roman" w:eastAsia="黑体" w:cs="Times New Roman"/>
          <w:b w:val="0"/>
          <w:bCs/>
          <w:szCs w:val="32"/>
          <w:highlight w:val="none"/>
          <w:u w:val="none"/>
        </w:rPr>
        <w:t>概况</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二、部门职责和机构设置</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 xml:space="preserve">第二部分  </w:t>
      </w:r>
      <w:r>
        <w:rPr>
          <w:rFonts w:hint="default" w:ascii="Times New Roman" w:hAnsi="Times New Roman" w:eastAsia="黑体" w:cs="Times New Roman"/>
          <w:b w:val="0"/>
          <w:bCs/>
          <w:szCs w:val="32"/>
          <w:highlight w:val="none"/>
          <w:u w:val="none"/>
          <w:lang w:val="en-US" w:eastAsia="zh-CN"/>
        </w:rPr>
        <w:t>巴青县直属机关工作委员会</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年度部门决算表（见附表1）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 xml:space="preserve">第三部分  </w:t>
      </w:r>
      <w:r>
        <w:rPr>
          <w:rFonts w:hint="default" w:ascii="Times New Roman" w:hAnsi="Times New Roman" w:eastAsia="黑体" w:cs="Times New Roman"/>
          <w:b w:val="0"/>
          <w:bCs/>
          <w:szCs w:val="32"/>
          <w:highlight w:val="none"/>
          <w:u w:val="none"/>
          <w:lang w:val="en-US" w:eastAsia="zh-CN"/>
        </w:rPr>
        <w:t>巴青县直属机关工作委员会</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w:t>
      </w:r>
      <w:r>
        <w:rPr>
          <w:rFonts w:hint="default" w:ascii="Times New Roman" w:hAnsi="Times New Roman" w:eastAsia="方正楷体简体" w:cs="Times New Roman"/>
          <w:szCs w:val="32"/>
          <w:highlight w:val="none"/>
          <w:u w:val="none"/>
          <w:lang w:eastAsia="zh-CN"/>
        </w:rPr>
        <w:t>、</w:t>
      </w:r>
      <w:r>
        <w:rPr>
          <w:rFonts w:hint="default" w:ascii="Times New Roman" w:hAnsi="Times New Roman" w:eastAsia="方正楷体简体" w:cs="Times New Roman"/>
          <w:szCs w:val="32"/>
          <w:highlight w:val="none"/>
          <w:u w:val="none"/>
        </w:rPr>
        <w:t>重点、重大项目信息</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第四部分  名词解释</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sectPr>
          <w:pgSz w:w="11906" w:h="16838"/>
          <w:pgMar w:top="2098" w:right="1474" w:bottom="1985" w:left="1588" w:header="851" w:footer="1418" w:gutter="0"/>
          <w:pgNumType w:fmt="numberInDash"/>
          <w:cols w:space="425" w:num="1"/>
          <w:docGrid w:type="linesAndChars" w:linePitch="579" w:charSpace="-849"/>
        </w:sect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 xml:space="preserve">第一部分 </w:t>
      </w:r>
      <w:r>
        <w:rPr>
          <w:rFonts w:hint="default" w:ascii="Times New Roman" w:hAnsi="Times New Roman" w:eastAsia="黑体" w:cs="Times New Roman"/>
          <w:b w:val="0"/>
          <w:bCs/>
          <w:szCs w:val="32"/>
          <w:highlight w:val="none"/>
          <w:u w:val="none"/>
          <w:lang w:val="en-US" w:eastAsia="zh-CN"/>
        </w:rPr>
        <w:t>巴青县直属机关工作委员会</w:t>
      </w:r>
      <w:r>
        <w:rPr>
          <w:rFonts w:hint="default" w:ascii="Times New Roman" w:hAnsi="Times New Roman" w:eastAsia="黑体" w:cs="Times New Roman"/>
          <w:b w:val="0"/>
          <w:bCs w:val="0"/>
          <w:szCs w:val="32"/>
          <w:highlight w:val="none"/>
          <w:u w:val="none"/>
        </w:rPr>
        <w:t>概况</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lang w:val="en-US" w:eastAsia="zh-CN"/>
        </w:rPr>
        <w:t>巴青县直属机关工作委员会</w:t>
      </w:r>
      <w:r>
        <w:rPr>
          <w:rFonts w:hint="default" w:ascii="Times New Roman" w:hAnsi="Times New Roman" w:eastAsia="方正仿宋_GBK" w:cs="Times New Roman"/>
          <w:szCs w:val="32"/>
          <w:highlight w:val="none"/>
          <w:u w:val="none"/>
        </w:rPr>
        <w:t>纳入本部门预算汇编范围的独立核算单位共1个。</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二、</w:t>
      </w:r>
      <w:r>
        <w:rPr>
          <w:rFonts w:hint="default" w:ascii="Times New Roman" w:hAnsi="Times New Roman" w:eastAsia="方正楷体简体" w:cs="Times New Roman"/>
          <w:szCs w:val="32"/>
          <w:highlight w:val="none"/>
          <w:u w:val="none"/>
        </w:rPr>
        <w:t>部门职责和机构设置</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（一）部门职责</w:t>
      </w:r>
    </w:p>
    <w:p>
      <w:pPr>
        <w:spacing w:line="540"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主要职能：</w:t>
      </w:r>
    </w:p>
    <w:p>
      <w:pPr>
        <w:spacing w:line="540" w:lineRule="exact"/>
        <w:ind w:firstLine="632" w:firstLineChars="200"/>
        <w:rPr>
          <w:rFonts w:hint="default" w:ascii="Times New Roman" w:hAnsi="Times New Roman" w:eastAsia="仿宋" w:cs="Times New Roman"/>
          <w:sz w:val="32"/>
          <w:highlight w:val="none"/>
        </w:rPr>
      </w:pPr>
      <w:r>
        <w:rPr>
          <w:rFonts w:hint="default" w:ascii="Times New Roman" w:hAnsi="Times New Roman" w:eastAsia="黑体" w:cs="Times New Roman"/>
          <w:color w:val="000000"/>
          <w:sz w:val="32"/>
          <w:szCs w:val="32"/>
          <w:highlight w:val="none"/>
        </w:rPr>
        <w:t>第一条</w:t>
      </w: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sz w:val="32"/>
          <w:highlight w:val="none"/>
        </w:rPr>
        <w:t>根据党中央、自治区党委和市委关于深化地方党政机构改革的工作要求，按照《关于那曲市机构改革的实施意见》和《巴青县机构改革方案》，制定本规定。</w:t>
      </w:r>
    </w:p>
    <w:p>
      <w:pPr>
        <w:spacing w:line="540" w:lineRule="exact"/>
        <w:ind w:firstLine="632" w:firstLineChars="200"/>
        <w:rPr>
          <w:rFonts w:hint="default" w:ascii="Times New Roman" w:hAnsi="Times New Roman" w:eastAsia="仿宋" w:cs="Times New Roman"/>
          <w:sz w:val="32"/>
          <w:szCs w:val="32"/>
          <w:highlight w:val="none"/>
        </w:rPr>
      </w:pPr>
      <w:r>
        <w:rPr>
          <w:rFonts w:hint="default" w:ascii="Times New Roman" w:hAnsi="Times New Roman" w:eastAsia="黑体" w:cs="Times New Roman"/>
          <w:color w:val="000000"/>
          <w:sz w:val="32"/>
          <w:szCs w:val="32"/>
          <w:highlight w:val="none"/>
        </w:rPr>
        <w:t>第二条</w:t>
      </w:r>
      <w:r>
        <w:rPr>
          <w:rFonts w:hint="default" w:ascii="Times New Roman" w:hAnsi="Times New Roman" w:eastAsia="仿宋" w:cs="Times New Roman"/>
          <w:sz w:val="32"/>
          <w:szCs w:val="32"/>
          <w:highlight w:val="none"/>
        </w:rPr>
        <w:t xml:space="preserve">  中共巴青县委员会直属机关工作委员会（以下简称县直机关工委）是县委派出机构，为正科级，统一领导县直机关党的工作。</w:t>
      </w:r>
    </w:p>
    <w:p>
      <w:pPr>
        <w:spacing w:line="540" w:lineRule="exact"/>
        <w:ind w:firstLine="632" w:firstLineChars="200"/>
        <w:rPr>
          <w:rFonts w:hint="default" w:ascii="Times New Roman" w:hAnsi="Times New Roman" w:eastAsia="仿宋" w:cs="Times New Roman"/>
          <w:sz w:val="32"/>
          <w:szCs w:val="32"/>
          <w:highlight w:val="none"/>
        </w:rPr>
      </w:pPr>
      <w:r>
        <w:rPr>
          <w:rFonts w:hint="default" w:ascii="Times New Roman" w:hAnsi="Times New Roman" w:eastAsia="黑体" w:cs="Times New Roman"/>
          <w:color w:val="000000"/>
          <w:sz w:val="32"/>
          <w:szCs w:val="32"/>
          <w:highlight w:val="none"/>
        </w:rPr>
        <w:t>第三条</w:t>
      </w:r>
      <w:r>
        <w:rPr>
          <w:rFonts w:hint="default" w:ascii="Times New Roman" w:hAnsi="Times New Roman" w:eastAsia="仿宋" w:cs="Times New Roman"/>
          <w:sz w:val="32"/>
          <w:szCs w:val="32"/>
          <w:highlight w:val="none"/>
        </w:rPr>
        <w:t xml:space="preserve">  县直机关工委的主要职责是：</w:t>
      </w:r>
    </w:p>
    <w:p>
      <w:pPr>
        <w:spacing w:line="540" w:lineRule="exact"/>
        <w:ind w:firstLine="632"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1.</w:t>
      </w:r>
      <w:r>
        <w:rPr>
          <w:rFonts w:hint="default" w:ascii="Times New Roman" w:hAnsi="Times New Roman" w:eastAsia="仿宋" w:cs="Times New Roman"/>
          <w:sz w:val="32"/>
          <w:szCs w:val="32"/>
          <w:highlight w:val="none"/>
        </w:rPr>
        <w:t>统一组织、规划、部署县直机关党的工作，提出加强和改进县直机关党的建设的意见和建议，研究制定工作规划，并抓好组织实施。</w:t>
      </w:r>
    </w:p>
    <w:p>
      <w:pPr>
        <w:spacing w:line="540" w:lineRule="exact"/>
        <w:ind w:firstLine="632"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highlight w:val="none"/>
        </w:rPr>
        <w:t>指导县直机关党的政治建设、思想建设、组织建设、作风建设、纪律建设，把制度建设贯穿其中，深入推进反腐败斗争。</w:t>
      </w:r>
    </w:p>
    <w:p>
      <w:pPr>
        <w:spacing w:line="540" w:lineRule="exact"/>
        <w:ind w:firstLine="632"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rPr>
        <w:t>指导县直机关各级党组织和广大党员学习马克思列宁主义、毛泽东思想、邓小平理论、“三个代表”重要思想、科学发展观、习近平新时代中国特色社会主义思想。</w:t>
      </w:r>
    </w:p>
    <w:p>
      <w:pPr>
        <w:spacing w:line="540" w:lineRule="exact"/>
        <w:ind w:firstLine="632"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rPr>
        <w:t>对县直机关各级党组织、党员领导干部落实党建责任制、遵守政治纪律和政治规矩情况进行监督检查，并向县委报告。</w:t>
      </w:r>
    </w:p>
    <w:p>
      <w:pPr>
        <w:spacing w:line="540" w:lineRule="exact"/>
        <w:ind w:firstLine="632"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指导县直机关各级党组织实施对党员特别是党员领导干部的监督和管理，及时向县委反映各部门领导班子、领导干部的情况。</w:t>
      </w:r>
    </w:p>
    <w:p>
      <w:pPr>
        <w:spacing w:line="540" w:lineRule="exact"/>
        <w:ind w:firstLine="632"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6.</w:t>
      </w:r>
      <w:r>
        <w:rPr>
          <w:rFonts w:hint="default" w:ascii="Times New Roman" w:hAnsi="Times New Roman" w:eastAsia="仿宋" w:cs="Times New Roman"/>
          <w:sz w:val="32"/>
          <w:szCs w:val="32"/>
          <w:highlight w:val="none"/>
        </w:rPr>
        <w:t>配合县委有关部门抓好县直机关各部门领导班子思想政治建设，参与对党员领导干部民主生活会和县直机关各部门党组（党委）理论学习中心组学习的督促检查和指导，了解掌握情况，按规定报送情况报告。</w:t>
      </w:r>
    </w:p>
    <w:p>
      <w:pPr>
        <w:spacing w:line="540" w:lineRule="exact"/>
        <w:ind w:firstLine="632"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7.</w:t>
      </w:r>
      <w:r>
        <w:rPr>
          <w:rFonts w:hint="default" w:ascii="Times New Roman" w:hAnsi="Times New Roman" w:eastAsia="仿宋" w:cs="Times New Roman"/>
          <w:sz w:val="32"/>
          <w:szCs w:val="32"/>
          <w:highlight w:val="none"/>
        </w:rPr>
        <w:t>督促指导县直各部门机关党组织按期换届，审批关于召开党员大会或党员代表大会的请示，审批县直各部门机关党组织和机关纪检组织领导班子的组成及书记、副书记的任免。</w:t>
      </w:r>
    </w:p>
    <w:p>
      <w:pPr>
        <w:spacing w:line="540" w:lineRule="exact"/>
        <w:ind w:firstLine="632"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8.</w:t>
      </w:r>
      <w:r>
        <w:rPr>
          <w:rFonts w:hint="default" w:ascii="Times New Roman" w:hAnsi="Times New Roman" w:eastAsia="仿宋" w:cs="Times New Roman"/>
          <w:sz w:val="32"/>
          <w:szCs w:val="32"/>
          <w:highlight w:val="none"/>
        </w:rPr>
        <w:t>指导县直机关各级党组织加强基层组织建设，做好党员发展、教育、管理和服务等工作。</w:t>
      </w:r>
    </w:p>
    <w:p>
      <w:pPr>
        <w:spacing w:line="540" w:lineRule="exact"/>
        <w:ind w:firstLine="632"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9.</w:t>
      </w:r>
      <w:r>
        <w:rPr>
          <w:rFonts w:hint="default" w:ascii="Times New Roman" w:hAnsi="Times New Roman" w:eastAsia="仿宋" w:cs="Times New Roman"/>
          <w:sz w:val="32"/>
          <w:szCs w:val="32"/>
          <w:highlight w:val="none"/>
        </w:rPr>
        <w:t>负责县直机关党建工作和先进基层党组织、优秀共产党员和党务工作者评比表彰。</w:t>
      </w:r>
    </w:p>
    <w:p>
      <w:pPr>
        <w:spacing w:line="540" w:lineRule="exact"/>
        <w:ind w:firstLine="632"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10.</w:t>
      </w:r>
      <w:r>
        <w:rPr>
          <w:rFonts w:hint="default" w:ascii="Times New Roman" w:hAnsi="Times New Roman" w:eastAsia="仿宋" w:cs="Times New Roman"/>
          <w:sz w:val="32"/>
          <w:szCs w:val="32"/>
          <w:highlight w:val="none"/>
        </w:rPr>
        <w:t>领导县直机关各部门机关党的纪律检查工作。</w:t>
      </w:r>
    </w:p>
    <w:p>
      <w:pPr>
        <w:spacing w:line="540" w:lineRule="exact"/>
        <w:ind w:firstLine="632"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11.</w:t>
      </w:r>
      <w:r>
        <w:rPr>
          <w:rFonts w:hint="default" w:ascii="Times New Roman" w:hAnsi="Times New Roman" w:eastAsia="仿宋" w:cs="Times New Roman"/>
          <w:sz w:val="32"/>
          <w:szCs w:val="32"/>
          <w:highlight w:val="none"/>
        </w:rPr>
        <w:t>了解掌握县直机关工作人员的思想状况，指导县直机关各级党组织加强思想政治工作和精神文明建设。</w:t>
      </w:r>
    </w:p>
    <w:p>
      <w:pPr>
        <w:spacing w:line="540" w:lineRule="exact"/>
        <w:ind w:firstLine="632"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12.</w:t>
      </w:r>
      <w:r>
        <w:rPr>
          <w:rFonts w:hint="default" w:ascii="Times New Roman" w:hAnsi="Times New Roman" w:eastAsia="仿宋" w:cs="Times New Roman"/>
          <w:sz w:val="32"/>
          <w:szCs w:val="32"/>
          <w:highlight w:val="none"/>
        </w:rPr>
        <w:t>领导县直机关工会、共青团、妇联等群团组织的工作，指导县直机关各级党组织做好党的群众工作。</w:t>
      </w:r>
    </w:p>
    <w:p>
      <w:pPr>
        <w:spacing w:line="540" w:lineRule="exact"/>
        <w:ind w:firstLine="632"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13.</w:t>
      </w:r>
      <w:r>
        <w:rPr>
          <w:rFonts w:hint="default" w:ascii="Times New Roman" w:hAnsi="Times New Roman" w:eastAsia="仿宋" w:cs="Times New Roman"/>
          <w:sz w:val="32"/>
          <w:szCs w:val="32"/>
          <w:highlight w:val="none"/>
        </w:rPr>
        <w:t>受县委委托，协助县委组织部管理县直机关党员和开展党务干部教育培训工作。</w:t>
      </w:r>
    </w:p>
    <w:p>
      <w:pPr>
        <w:spacing w:line="540" w:lineRule="exact"/>
        <w:ind w:firstLine="632"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14.</w:t>
      </w:r>
      <w:r>
        <w:rPr>
          <w:rFonts w:hint="default" w:ascii="Times New Roman" w:hAnsi="Times New Roman" w:eastAsia="仿宋" w:cs="Times New Roman"/>
          <w:sz w:val="32"/>
          <w:szCs w:val="32"/>
          <w:highlight w:val="none"/>
        </w:rPr>
        <w:t>协助有关部门协调县直机关各部门做好维护稳定、离退休干部等工作。</w:t>
      </w:r>
    </w:p>
    <w:p>
      <w:pPr>
        <w:spacing w:line="576" w:lineRule="exact"/>
        <w:ind w:firstLine="632"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15.</w:t>
      </w:r>
      <w:r>
        <w:rPr>
          <w:rFonts w:hint="default" w:ascii="Times New Roman" w:hAnsi="Times New Roman" w:eastAsia="仿宋" w:cs="Times New Roman"/>
          <w:sz w:val="32"/>
          <w:szCs w:val="32"/>
          <w:highlight w:val="none"/>
        </w:rPr>
        <w:t>完成县委交办的其他任务。</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（二）机构设置</w:t>
      </w:r>
    </w:p>
    <w:p>
      <w:pPr>
        <w:spacing w:line="576" w:lineRule="exact"/>
        <w:ind w:firstLine="631"/>
        <w:rPr>
          <w:rFonts w:hint="default" w:ascii="Times New Roman" w:hAnsi="Times New Roman" w:eastAsia="方正仿宋_GBK" w:cs="Times New Roman"/>
          <w:szCs w:val="32"/>
          <w:highlight w:val="none"/>
          <w:lang w:eastAsia="zh-CN"/>
        </w:rPr>
      </w:pPr>
      <w:r>
        <w:rPr>
          <w:rFonts w:hint="default" w:ascii="Times New Roman" w:hAnsi="Times New Roman" w:eastAsia="方正仿宋_GBK" w:cs="Times New Roman"/>
          <w:szCs w:val="32"/>
          <w:highlight w:val="none"/>
        </w:rPr>
        <w:t>县</w:t>
      </w:r>
      <w:r>
        <w:rPr>
          <w:rFonts w:hint="default" w:ascii="Times New Roman" w:hAnsi="Times New Roman" w:eastAsia="方正仿宋_GBK" w:cs="Times New Roman"/>
          <w:szCs w:val="32"/>
          <w:highlight w:val="none"/>
          <w:lang w:val="en-US" w:eastAsia="zh-CN"/>
        </w:rPr>
        <w:t>直属机关工作委员会</w:t>
      </w:r>
      <w:r>
        <w:rPr>
          <w:rFonts w:hint="default" w:ascii="Times New Roman" w:hAnsi="Times New Roman" w:eastAsia="方正仿宋_GBK" w:cs="Times New Roman"/>
          <w:szCs w:val="32"/>
          <w:highlight w:val="none"/>
        </w:rPr>
        <w:t>机关</w:t>
      </w:r>
      <w:r>
        <w:rPr>
          <w:rFonts w:hint="default" w:ascii="Times New Roman" w:hAnsi="Times New Roman" w:eastAsia="仿宋" w:cs="Times New Roman"/>
          <w:sz w:val="32"/>
          <w:szCs w:val="32"/>
          <w:highlight w:val="none"/>
        </w:rPr>
        <w:t>行政编制2名，领导职数2名（正科级1名，副科级1名）。</w:t>
      </w:r>
    </w:p>
    <w:p>
      <w:pPr>
        <w:spacing w:line="576" w:lineRule="exact"/>
        <w:rPr>
          <w:rFonts w:hint="default" w:ascii="Times New Roman" w:hAnsi="Times New Roman" w:eastAsia="方正仿宋_GBK" w:cs="Times New Roman"/>
          <w:szCs w:val="32"/>
          <w:highlight w:val="none"/>
          <w:lang w:val="en-US" w:eastAsia="zh-CN"/>
        </w:rPr>
      </w:pPr>
      <w:r>
        <w:rPr>
          <w:rFonts w:hint="default" w:ascii="Times New Roman" w:hAnsi="Times New Roman" w:eastAsia="方正仿宋_GBK" w:cs="Times New Roman"/>
          <w:szCs w:val="32"/>
          <w:highlight w:val="none"/>
          <w:lang w:val="en-US" w:eastAsia="zh-CN"/>
        </w:rPr>
        <w:t xml:space="preserve">    </w:t>
      </w:r>
      <w:r>
        <w:rPr>
          <w:rFonts w:hint="default" w:ascii="Times New Roman" w:hAnsi="Times New Roman" w:eastAsia="方正仿宋_GBK" w:cs="Times New Roman"/>
          <w:sz w:val="32"/>
          <w:szCs w:val="32"/>
          <w:highlight w:val="none"/>
          <w:lang w:eastAsia="zh-CN"/>
        </w:rPr>
        <w:t>在职实有人数</w:t>
      </w:r>
      <w:r>
        <w:rPr>
          <w:rFonts w:hint="default" w:ascii="Times New Roman" w:hAnsi="Times New Roman" w:eastAsia="方正仿宋_GBK" w:cs="Times New Roman"/>
          <w:sz w:val="32"/>
          <w:szCs w:val="32"/>
          <w:highlight w:val="none"/>
          <w:lang w:val="en-US" w:eastAsia="zh-CN"/>
        </w:rPr>
        <w:t>3名，其中：书记1名（正科级），副书记1名（副科级），四级主任科员1名，科员0名</w:t>
      </w:r>
      <w:r>
        <w:rPr>
          <w:rFonts w:hint="default" w:ascii="Times New Roman" w:hAnsi="Times New Roman" w:eastAsia="方正仿宋_GBK" w:cs="Times New Roman"/>
          <w:szCs w:val="32"/>
          <w:highlight w:val="none"/>
          <w:lang w:val="en-US" w:eastAsia="zh-CN"/>
        </w:rPr>
        <w:t>。</w:t>
      </w: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 xml:space="preserve">第二部分 </w:t>
      </w:r>
      <w:r>
        <w:rPr>
          <w:rFonts w:hint="default" w:ascii="Times New Roman" w:hAnsi="Times New Roman" w:eastAsia="黑体" w:cs="Times New Roman"/>
          <w:b w:val="0"/>
          <w:bCs/>
          <w:szCs w:val="32"/>
          <w:highlight w:val="none"/>
          <w:u w:val="none"/>
          <w:lang w:val="en-US" w:eastAsia="zh-CN"/>
        </w:rPr>
        <w:t>巴青县直属机关工作委员会</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年度部门决算表</w:t>
      </w: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 xml:space="preserve">第三部分  </w:t>
      </w:r>
      <w:r>
        <w:rPr>
          <w:rFonts w:hint="default" w:ascii="Times New Roman" w:hAnsi="Times New Roman" w:eastAsia="黑体" w:cs="Times New Roman"/>
          <w:b w:val="0"/>
          <w:bCs/>
          <w:szCs w:val="32"/>
          <w:highlight w:val="none"/>
          <w:u w:val="none"/>
          <w:lang w:val="en-US" w:eastAsia="zh-CN"/>
        </w:rPr>
        <w:t>巴青县直属机关工作委员会</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年年初结转结余资金</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lang w:val="en-US" w:eastAsia="zh-CN"/>
        </w:rPr>
        <w:t>万元</w:t>
      </w:r>
      <w:r>
        <w:rPr>
          <w:rFonts w:hint="default" w:ascii="Times New Roman" w:hAnsi="Times New Roman" w:eastAsia="方正仿宋_GBK" w:cs="Times New Roman"/>
          <w:szCs w:val="32"/>
          <w:highlight w:val="none"/>
          <w:u w:val="none"/>
        </w:rPr>
        <w:t>，一般公共预算财政拨款收入</w:t>
      </w:r>
      <w:r>
        <w:rPr>
          <w:rFonts w:hint="default" w:ascii="Times New Roman" w:hAnsi="Times New Roman" w:eastAsia="方正仿宋_GBK" w:cs="Times New Roman"/>
          <w:szCs w:val="32"/>
          <w:highlight w:val="none"/>
          <w:u w:val="none"/>
          <w:lang w:val="en-US" w:eastAsia="zh-CN"/>
        </w:rPr>
        <w:t>104.83</w:t>
      </w:r>
      <w:r>
        <w:rPr>
          <w:rFonts w:hint="default" w:ascii="Times New Roman" w:hAnsi="Times New Roman" w:eastAsia="方正仿宋_GBK" w:cs="Times New Roman"/>
          <w:szCs w:val="32"/>
          <w:highlight w:val="none"/>
          <w:u w:val="none"/>
        </w:rPr>
        <w:t>万元，本年支出合计</w:t>
      </w:r>
      <w:r>
        <w:rPr>
          <w:rFonts w:hint="default" w:ascii="Times New Roman" w:hAnsi="Times New Roman" w:eastAsia="方正仿宋_GBK" w:cs="Times New Roman"/>
          <w:szCs w:val="32"/>
          <w:highlight w:val="none"/>
          <w:u w:val="none"/>
          <w:lang w:val="en-US" w:eastAsia="zh-CN"/>
        </w:rPr>
        <w:t>104.83</w:t>
      </w:r>
      <w:r>
        <w:rPr>
          <w:rFonts w:hint="default" w:ascii="Times New Roman" w:hAnsi="Times New Roman" w:eastAsia="方正仿宋_GBK" w:cs="Times New Roman"/>
          <w:szCs w:val="32"/>
          <w:highlight w:val="none"/>
          <w:u w:val="none"/>
        </w:rPr>
        <w:t>万元，年末财政拨款结转和结余资金</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lang w:val="en-US" w:eastAsia="zh-CN"/>
        </w:rPr>
        <w:t>万元</w:t>
      </w:r>
      <w:r>
        <w:rPr>
          <w:rFonts w:hint="default" w:ascii="Times New Roman" w:hAnsi="Times New Roman" w:eastAsia="方正仿宋_GBK" w:cs="Times New Roman"/>
          <w:szCs w:val="32"/>
          <w:highlight w:val="none"/>
          <w:u w:val="none"/>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年收入合计</w:t>
      </w:r>
      <w:r>
        <w:rPr>
          <w:rFonts w:hint="default" w:ascii="Times New Roman" w:hAnsi="Times New Roman" w:eastAsia="方正仿宋_GBK" w:cs="Times New Roman"/>
          <w:szCs w:val="32"/>
          <w:highlight w:val="none"/>
          <w:u w:val="none"/>
          <w:lang w:val="en-US" w:eastAsia="zh-CN"/>
        </w:rPr>
        <w:t>104.83</w:t>
      </w:r>
      <w:r>
        <w:rPr>
          <w:rFonts w:hint="default" w:ascii="Times New Roman" w:hAnsi="Times New Roman" w:eastAsia="方正仿宋_GBK" w:cs="Times New Roman"/>
          <w:szCs w:val="32"/>
          <w:highlight w:val="none"/>
          <w:u w:val="none"/>
        </w:rPr>
        <w:t>万元。其中，财政拨款收入</w:t>
      </w:r>
      <w:r>
        <w:rPr>
          <w:rFonts w:hint="default" w:ascii="Times New Roman" w:hAnsi="Times New Roman" w:eastAsia="方正仿宋_GBK" w:cs="Times New Roman"/>
          <w:szCs w:val="32"/>
          <w:highlight w:val="none"/>
          <w:u w:val="none"/>
          <w:lang w:val="en-US" w:eastAsia="zh-CN"/>
        </w:rPr>
        <w:t xml:space="preserve">   </w:t>
      </w:r>
      <w:r>
        <w:rPr>
          <w:rFonts w:hint="default" w:ascii="Times New Roman" w:hAnsi="Times New Roman" w:eastAsia="方正仿宋_GBK" w:cs="Times New Roman"/>
          <w:szCs w:val="32"/>
          <w:highlight w:val="none"/>
          <w:u w:val="none"/>
          <w:lang w:val="en-US" w:eastAsia="zh-CN"/>
        </w:rPr>
        <w:t>104.83</w:t>
      </w:r>
      <w:r>
        <w:rPr>
          <w:rFonts w:hint="default" w:ascii="Times New Roman" w:hAnsi="Times New Roman" w:eastAsia="方正仿宋_GBK" w:cs="Times New Roman"/>
          <w:szCs w:val="32"/>
          <w:highlight w:val="none"/>
          <w:u w:val="none"/>
        </w:rPr>
        <w:t>万元，上级补助收入0万元，事业收入0万元，经营收入0万元，附属单位上缴收入0万元，其他收入0万元。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年支出合计</w:t>
      </w:r>
      <w:r>
        <w:rPr>
          <w:rFonts w:hint="default" w:ascii="Times New Roman" w:hAnsi="Times New Roman" w:eastAsia="方正仿宋_GBK" w:cs="Times New Roman"/>
          <w:szCs w:val="32"/>
          <w:highlight w:val="none"/>
          <w:u w:val="none"/>
          <w:lang w:val="en-US" w:eastAsia="zh-CN"/>
        </w:rPr>
        <w:t>104.83</w:t>
      </w:r>
      <w:r>
        <w:rPr>
          <w:rFonts w:hint="default" w:ascii="Times New Roman" w:hAnsi="Times New Roman" w:eastAsia="方正仿宋_GBK" w:cs="Times New Roman"/>
          <w:szCs w:val="32"/>
          <w:highlight w:val="none"/>
          <w:u w:val="none"/>
        </w:rPr>
        <w:t>万元。其中，基本支出</w:t>
      </w:r>
      <w:r>
        <w:rPr>
          <w:rFonts w:hint="default" w:ascii="Times New Roman" w:hAnsi="Times New Roman" w:eastAsia="方正仿宋_GBK" w:cs="Times New Roman"/>
          <w:szCs w:val="32"/>
          <w:highlight w:val="none"/>
          <w:u w:val="none"/>
          <w:lang w:val="en-US" w:eastAsia="zh-CN"/>
        </w:rPr>
        <w:t>104.83</w:t>
      </w:r>
      <w:r>
        <w:rPr>
          <w:rFonts w:hint="default" w:ascii="Times New Roman" w:hAnsi="Times New Roman" w:eastAsia="方正仿宋_GBK" w:cs="Times New Roman"/>
          <w:szCs w:val="32"/>
          <w:highlight w:val="none"/>
          <w:u w:val="none"/>
        </w:rPr>
        <w:t>万元，项目支出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万元，上缴上级支出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万元，经营支出0万元，对附属单位补助支出0万元。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年年初财政拨款结转和结余</w:t>
      </w:r>
      <w:r>
        <w:rPr>
          <w:rFonts w:hint="default" w:ascii="Times New Roman" w:hAnsi="Times New Roman" w:eastAsia="方正仿宋_GBK" w:cs="Times New Roman"/>
          <w:szCs w:val="32"/>
          <w:highlight w:val="none"/>
          <w:u w:val="none"/>
          <w:lang w:val="en-US" w:eastAsia="zh-CN"/>
        </w:rPr>
        <w:t>资金</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万元，本年财政拨款收入</w:t>
      </w:r>
      <w:r>
        <w:rPr>
          <w:rFonts w:hint="default" w:ascii="Times New Roman" w:hAnsi="Times New Roman" w:eastAsia="方正仿宋_GBK" w:cs="Times New Roman"/>
          <w:szCs w:val="32"/>
          <w:highlight w:val="none"/>
          <w:u w:val="none"/>
          <w:lang w:val="en-US" w:eastAsia="zh-CN"/>
        </w:rPr>
        <w:t>104.83</w:t>
      </w:r>
      <w:r>
        <w:rPr>
          <w:rFonts w:hint="default" w:ascii="Times New Roman" w:hAnsi="Times New Roman" w:eastAsia="方正仿宋_GBK" w:cs="Times New Roman"/>
          <w:szCs w:val="32"/>
          <w:highlight w:val="none"/>
          <w:u w:val="none"/>
        </w:rPr>
        <w:t>万元。其中，一般公共预算财政拨款收入</w:t>
      </w:r>
      <w:r>
        <w:rPr>
          <w:rFonts w:hint="default" w:ascii="Times New Roman" w:hAnsi="Times New Roman" w:eastAsia="方正仿宋_GBK" w:cs="Times New Roman"/>
          <w:szCs w:val="32"/>
          <w:highlight w:val="none"/>
          <w:u w:val="none"/>
          <w:lang w:val="en-US" w:eastAsia="zh-CN"/>
        </w:rPr>
        <w:t xml:space="preserve">     </w:t>
      </w:r>
      <w:r>
        <w:rPr>
          <w:rFonts w:hint="default" w:ascii="Times New Roman" w:hAnsi="Times New Roman" w:eastAsia="方正仿宋_GBK" w:cs="Times New Roman"/>
          <w:szCs w:val="32"/>
          <w:highlight w:val="none"/>
          <w:u w:val="none"/>
          <w:lang w:val="en-US" w:eastAsia="zh-CN"/>
        </w:rPr>
        <w:t>104.83</w:t>
      </w:r>
      <w:r>
        <w:rPr>
          <w:rFonts w:hint="default" w:ascii="Times New Roman" w:hAnsi="Times New Roman" w:eastAsia="方正仿宋_GBK" w:cs="Times New Roman"/>
          <w:szCs w:val="32"/>
          <w:highlight w:val="none"/>
          <w:u w:val="none"/>
        </w:rPr>
        <w:t>万元，政府性基金预算财政拨款收入</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万元，国有资本经营财政拨款收入</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万元。本年财政拨款收入合计</w:t>
      </w:r>
      <w:r>
        <w:rPr>
          <w:rFonts w:hint="default" w:ascii="Times New Roman" w:hAnsi="Times New Roman" w:eastAsia="方正仿宋_GBK" w:cs="Times New Roman"/>
          <w:szCs w:val="32"/>
          <w:highlight w:val="none"/>
          <w:u w:val="none"/>
          <w:lang w:val="en-US" w:eastAsia="zh-CN"/>
        </w:rPr>
        <w:t>104.83</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年财政拨款支出</w:t>
      </w:r>
      <w:r>
        <w:rPr>
          <w:rFonts w:hint="default" w:ascii="Times New Roman" w:hAnsi="Times New Roman" w:eastAsia="方正仿宋_GBK" w:cs="Times New Roman"/>
          <w:szCs w:val="32"/>
          <w:highlight w:val="none"/>
          <w:u w:val="none"/>
          <w:lang w:val="en-US" w:eastAsia="zh-CN"/>
        </w:rPr>
        <w:t>104.83</w:t>
      </w:r>
      <w:r>
        <w:rPr>
          <w:rFonts w:hint="default" w:ascii="Times New Roman" w:hAnsi="Times New Roman" w:eastAsia="方正仿宋_GBK" w:cs="Times New Roman"/>
          <w:szCs w:val="32"/>
          <w:highlight w:val="none"/>
          <w:u w:val="none"/>
        </w:rPr>
        <w:t>万元。其中，一般公共预算财政拨款支出</w:t>
      </w:r>
      <w:r>
        <w:rPr>
          <w:rFonts w:hint="default" w:ascii="Times New Roman" w:hAnsi="Times New Roman" w:eastAsia="方正仿宋_GBK" w:cs="Times New Roman"/>
          <w:szCs w:val="32"/>
          <w:highlight w:val="none"/>
          <w:u w:val="none"/>
          <w:lang w:val="en-US" w:eastAsia="zh-CN"/>
        </w:rPr>
        <w:t>104.83</w:t>
      </w:r>
      <w:r>
        <w:rPr>
          <w:rFonts w:hint="default" w:ascii="Times New Roman" w:hAnsi="Times New Roman" w:eastAsia="方正仿宋_GBK" w:cs="Times New Roman"/>
          <w:szCs w:val="32"/>
          <w:highlight w:val="none"/>
          <w:u w:val="none"/>
        </w:rPr>
        <w:t>万元，政府性基金预算财政拨款支出</w:t>
      </w:r>
      <w:r>
        <w:rPr>
          <w:rFonts w:hint="default" w:ascii="Times New Roman" w:hAnsi="Times New Roman" w:eastAsia="方正仿宋_GBK" w:cs="Times New Roman"/>
          <w:szCs w:val="32"/>
          <w:highlight w:val="none"/>
          <w:u w:val="none"/>
          <w:lang w:val="en-US" w:eastAsia="zh-CN"/>
        </w:rPr>
        <w:t xml:space="preserve">    </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万元，国有资本经营财政拨款支出</w:t>
      </w:r>
      <w:r>
        <w:rPr>
          <w:rFonts w:hint="default" w:ascii="Times New Roman" w:hAnsi="Times New Roman" w:eastAsia="方正仿宋_GBK" w:cs="Times New Roman"/>
          <w:szCs w:val="32"/>
          <w:highlight w:val="none"/>
          <w:u w:val="none"/>
          <w:lang w:val="en-US" w:eastAsia="zh-CN"/>
        </w:rPr>
        <w:t>104.83</w:t>
      </w:r>
      <w:r>
        <w:rPr>
          <w:rFonts w:hint="default" w:ascii="Times New Roman" w:hAnsi="Times New Roman" w:eastAsia="方正仿宋_GBK" w:cs="Times New Roman"/>
          <w:szCs w:val="32"/>
          <w:highlight w:val="none"/>
          <w:u w:val="none"/>
        </w:rPr>
        <w:t>万元。本年年末财政拨款结转和结余</w:t>
      </w:r>
      <w:r>
        <w:rPr>
          <w:rFonts w:hint="default" w:ascii="Times New Roman" w:hAnsi="Times New Roman" w:eastAsia="方正仿宋_GBK" w:cs="Times New Roman"/>
          <w:szCs w:val="32"/>
          <w:highlight w:val="none"/>
          <w:u w:val="none"/>
          <w:lang w:val="en-US" w:eastAsia="zh-CN"/>
        </w:rPr>
        <w:t>资金</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万元。本年财政拨款支出合计</w:t>
      </w:r>
      <w:r>
        <w:rPr>
          <w:rFonts w:hint="default" w:ascii="Times New Roman" w:hAnsi="Times New Roman" w:eastAsia="方正仿宋_GBK" w:cs="Times New Roman"/>
          <w:szCs w:val="32"/>
          <w:highlight w:val="none"/>
          <w:u w:val="none"/>
          <w:lang w:val="en-US" w:eastAsia="zh-CN"/>
        </w:rPr>
        <w:t>104.83</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年一般公共预算财政拨款“三公”经费支出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 。</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年人员经费支出</w:t>
      </w:r>
      <w:r>
        <w:rPr>
          <w:rFonts w:hint="default" w:ascii="Times New Roman" w:hAnsi="Times New Roman" w:eastAsia="方正仿宋_GBK" w:cs="Times New Roman"/>
          <w:szCs w:val="32"/>
          <w:highlight w:val="none"/>
          <w:u w:val="none"/>
          <w:lang w:val="en-US" w:eastAsia="zh-CN"/>
        </w:rPr>
        <w:t>100.57</w:t>
      </w:r>
      <w:r>
        <w:rPr>
          <w:rFonts w:hint="default" w:ascii="Times New Roman" w:hAnsi="Times New Roman" w:eastAsia="方正仿宋_GBK" w:cs="Times New Roman"/>
          <w:szCs w:val="32"/>
          <w:highlight w:val="none"/>
          <w:u w:val="none"/>
        </w:rPr>
        <w:t>万元。其中，工资福利支出</w:t>
      </w:r>
      <w:r>
        <w:rPr>
          <w:rFonts w:hint="default" w:ascii="Times New Roman" w:hAnsi="Times New Roman" w:eastAsia="方正仿宋_GBK" w:cs="Times New Roman"/>
          <w:szCs w:val="32"/>
          <w:highlight w:val="none"/>
          <w:u w:val="none"/>
          <w:lang w:val="en-US" w:eastAsia="zh-CN"/>
        </w:rPr>
        <w:t>100.57</w:t>
      </w:r>
      <w:r>
        <w:rPr>
          <w:rFonts w:hint="default" w:ascii="Times New Roman" w:hAnsi="Times New Roman" w:eastAsia="方正仿宋_GBK" w:cs="Times New Roman"/>
          <w:szCs w:val="32"/>
          <w:highlight w:val="none"/>
          <w:u w:val="none"/>
        </w:rPr>
        <w:t>万元，对个人和家庭的补助</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年公用经费支出</w:t>
      </w:r>
      <w:r>
        <w:rPr>
          <w:rFonts w:hint="default" w:ascii="Times New Roman" w:hAnsi="Times New Roman" w:eastAsia="方正仿宋_GBK" w:cs="Times New Roman"/>
          <w:szCs w:val="32"/>
          <w:highlight w:val="none"/>
          <w:u w:val="none"/>
          <w:lang w:val="en-US" w:eastAsia="zh-CN"/>
        </w:rPr>
        <w:t>4.26</w:t>
      </w:r>
      <w:r>
        <w:rPr>
          <w:rFonts w:hint="default" w:ascii="Times New Roman" w:hAnsi="Times New Roman" w:eastAsia="方正仿宋_GBK" w:cs="Times New Roman"/>
          <w:szCs w:val="32"/>
          <w:highlight w:val="none"/>
          <w:u w:val="none"/>
        </w:rPr>
        <w:t>万元。其中，商品和服务支出</w:t>
      </w:r>
      <w:r>
        <w:rPr>
          <w:rFonts w:hint="default" w:ascii="Times New Roman" w:hAnsi="Times New Roman" w:eastAsia="方正仿宋_GBK" w:cs="Times New Roman"/>
          <w:szCs w:val="32"/>
          <w:highlight w:val="none"/>
          <w:u w:val="none"/>
          <w:lang w:val="en-US" w:eastAsia="zh-CN"/>
        </w:rPr>
        <w:t>4.26</w:t>
      </w:r>
      <w:r>
        <w:rPr>
          <w:rFonts w:hint="default" w:ascii="Times New Roman" w:hAnsi="Times New Roman" w:eastAsia="方正仿宋_GBK" w:cs="Times New Roman"/>
          <w:szCs w:val="32"/>
          <w:highlight w:val="none"/>
          <w:u w:val="none"/>
        </w:rPr>
        <w:t>万元，债务利息及费用支出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万元，资本性支出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万元，其他支出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年无政府采购项目。</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仿宋_GBK" w:cs="Times New Roman"/>
          <w:szCs w:val="32"/>
          <w:highlight w:val="none"/>
          <w:u w:val="none"/>
          <w:lang w:eastAsia="zh-CN"/>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w:t>
      </w:r>
      <w:r>
        <w:rPr>
          <w:rFonts w:hint="default" w:ascii="Times New Roman" w:hAnsi="Times New Roman" w:eastAsia="方正仿宋_GBK" w:cs="Times New Roman"/>
          <w:szCs w:val="32"/>
          <w:highlight w:val="none"/>
          <w:u w:val="none"/>
          <w:lang w:val="en-US" w:eastAsia="zh-CN"/>
        </w:rPr>
        <w:t>无</w:t>
      </w:r>
      <w:r>
        <w:rPr>
          <w:rFonts w:hint="default" w:ascii="Times New Roman" w:hAnsi="Times New Roman" w:eastAsia="方正仿宋_GBK" w:cs="Times New Roman"/>
          <w:szCs w:val="32"/>
          <w:highlight w:val="none"/>
          <w:u w:val="none"/>
        </w:rPr>
        <w:t>公用车辆</w:t>
      </w:r>
      <w:r>
        <w:rPr>
          <w:rFonts w:hint="default" w:ascii="Times New Roman" w:hAnsi="Times New Roman" w:eastAsia="方正仿宋_GBK" w:cs="Times New Roman"/>
          <w:szCs w:val="32"/>
          <w:highlight w:val="none"/>
          <w:u w:val="none"/>
          <w:lang w:eastAsia="zh-CN"/>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年无政府债务。</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十、重点、重大项目信息</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年无重点、重大项目。</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方正仿宋_GBK" w:cs="Times New Roman"/>
          <w:b/>
          <w:bCs/>
          <w:szCs w:val="32"/>
          <w:highlight w:val="none"/>
          <w:u w:val="none"/>
        </w:rPr>
      </w:pPr>
      <w:r>
        <w:rPr>
          <w:rFonts w:hint="default" w:ascii="Times New Roman" w:hAnsi="Times New Roman" w:eastAsia="黑体" w:cs="Times New Roman"/>
          <w:b w:val="0"/>
          <w:bCs w:val="0"/>
          <w:szCs w:val="32"/>
          <w:highlight w:val="none"/>
          <w:u w:val="none"/>
        </w:rPr>
        <w:t>第四部分</w:t>
      </w:r>
      <w:r>
        <w:rPr>
          <w:rFonts w:hint="default" w:ascii="Times New Roman" w:hAnsi="Times New Roman" w:eastAsia="黑体" w:cs="Times New Roman"/>
          <w:b w:val="0"/>
          <w:bCs w:val="0"/>
          <w:szCs w:val="32"/>
          <w:highlight w:val="none"/>
          <w:u w:val="none"/>
          <w:lang w:val="en-US" w:eastAsia="zh-CN"/>
        </w:rPr>
        <w:t xml:space="preserve"> </w:t>
      </w:r>
      <w:r>
        <w:rPr>
          <w:rFonts w:hint="default" w:ascii="Times New Roman" w:hAnsi="Times New Roman" w:eastAsia="方正仿宋_GBK" w:cs="Times New Roman"/>
          <w:b/>
          <w:bCs/>
          <w:szCs w:val="32"/>
          <w:highlight w:val="none"/>
          <w:u w:val="none"/>
        </w:rPr>
        <w:t>名词解释</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一、一般公共预算拨款收入：</w:t>
      </w:r>
      <w:r>
        <w:rPr>
          <w:rFonts w:hint="default" w:ascii="Times New Roman" w:hAnsi="Times New Roman" w:eastAsia="方正仿宋_GBK" w:cs="Times New Roman"/>
          <w:szCs w:val="32"/>
          <w:highlight w:val="none"/>
          <w:u w:val="none"/>
        </w:rPr>
        <w:t>指财政部门当年拨付的资金。</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二、基本支出：</w:t>
      </w:r>
      <w:r>
        <w:rPr>
          <w:rFonts w:hint="default" w:ascii="Times New Roman" w:hAnsi="Times New Roman" w:eastAsia="方正仿宋_GBK" w:cs="Times New Roman"/>
          <w:szCs w:val="32"/>
          <w:highlight w:val="none"/>
          <w:u w:val="none"/>
        </w:rPr>
        <w:t>是指为保障机构正常运转，完成日常工作任务而发生的人员支出和共用支出。</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三、“三公经费”：</w:t>
      </w:r>
      <w:r>
        <w:rPr>
          <w:rFonts w:hint="default" w:ascii="Times New Roman" w:hAnsi="Times New Roman" w:eastAsia="方正仿宋_GBK" w:cs="Times New Roman"/>
          <w:szCs w:val="32"/>
          <w:highlight w:val="none"/>
          <w:u w:val="none"/>
        </w:rPr>
        <w:t>纳入财政预决算管理的“三公”经费，是指部门用财政拨款安排的因公出国（境）费、公务用车购置及运行费和公务接待费。</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四、机关运行经费：</w:t>
      </w:r>
      <w:r>
        <w:rPr>
          <w:rFonts w:hint="default" w:ascii="Times New Roman" w:hAnsi="Times New Roman" w:eastAsia="方正仿宋_GBK" w:cs="Times New Roman"/>
          <w:szCs w:val="32"/>
          <w:highlight w:val="none"/>
          <w:u w:val="none"/>
        </w:rPr>
        <w:t>是指各部门的公用经费，包括办公及印刷费、邮电费、差旅费、会议费、福利费、日常维修费、水电费、工会经费、公务接待费、公务用车运行费及其他费用。</w:t>
      </w:r>
    </w:p>
    <w:p>
      <w:pPr>
        <w:spacing w:line="576" w:lineRule="exact"/>
        <w:rPr>
          <w:rFonts w:hint="default" w:ascii="Times New Roman" w:hAnsi="Times New Roman" w:eastAsia="方正仿宋_GBK" w:cs="Times New Roman"/>
          <w:szCs w:val="32"/>
          <w:highlight w:val="none"/>
          <w:u w:val="none"/>
        </w:rPr>
      </w:pPr>
    </w:p>
    <w:bookmarkEnd w:id="0"/>
    <w:sectPr>
      <w:footerReference r:id="rId3" w:type="default"/>
      <w:footerReference r:id="rId4" w:type="even"/>
      <w:pgSz w:w="11906" w:h="16838"/>
      <w:pgMar w:top="2098" w:right="1474" w:bottom="1985" w:left="1588" w:header="851" w:footer="1418" w:gutter="0"/>
      <w:pgNumType w:fmt="numberInDash"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2477770</wp:posOffset>
              </wp:positionH>
              <wp:positionV relativeFrom="paragraph">
                <wp:posOffset>0</wp:posOffset>
              </wp:positionV>
              <wp:extent cx="4413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1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5.1pt;margin-top:0pt;height:144pt;width:34.75pt;mso-position-horizontal-relative:margin;z-index:251659264;mso-width-relative:page;mso-height-relative:page;" filled="f" stroked="f" coordsize="21600,21600" o:gfxdata="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42yXvWAAAACAEA&#10;AA8AAAAAAAAAAQAgAAAAIgAAAGRycy9kb3ducmV2LnhtbFBLAQIUABQAAAAIAIdO4kCSU0n6HAIA&#10;ABQEAAAOAAAAAAAAAAEAIAAAACUBAABkcnMvZTJvRG9jLnhtbFBLBQYAAAAABgAGAFkBAACzBQAA&#10;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ZGQ4YTRjOWFkNmQ1M2I0YWJjYWUyZWRiNjQwNzUifQ=="/>
  </w:docVars>
  <w:rsids>
    <w:rsidRoot w:val="00BD6503"/>
    <w:rsid w:val="00037884"/>
    <w:rsid w:val="0007665C"/>
    <w:rsid w:val="000D46E4"/>
    <w:rsid w:val="001076DA"/>
    <w:rsid w:val="001168A7"/>
    <w:rsid w:val="001D459B"/>
    <w:rsid w:val="00227802"/>
    <w:rsid w:val="00247A27"/>
    <w:rsid w:val="0026485A"/>
    <w:rsid w:val="00274DC3"/>
    <w:rsid w:val="00281225"/>
    <w:rsid w:val="002B4237"/>
    <w:rsid w:val="002C3EB5"/>
    <w:rsid w:val="0032265F"/>
    <w:rsid w:val="00367D2D"/>
    <w:rsid w:val="00372D79"/>
    <w:rsid w:val="0039579C"/>
    <w:rsid w:val="003B6733"/>
    <w:rsid w:val="004826E3"/>
    <w:rsid w:val="004A737F"/>
    <w:rsid w:val="004A7F9F"/>
    <w:rsid w:val="004C2901"/>
    <w:rsid w:val="004E29C2"/>
    <w:rsid w:val="004F1C33"/>
    <w:rsid w:val="00506C8E"/>
    <w:rsid w:val="00524803"/>
    <w:rsid w:val="00566324"/>
    <w:rsid w:val="005B7F37"/>
    <w:rsid w:val="00657E6C"/>
    <w:rsid w:val="006740AD"/>
    <w:rsid w:val="0077198D"/>
    <w:rsid w:val="00792B41"/>
    <w:rsid w:val="00796391"/>
    <w:rsid w:val="007C0976"/>
    <w:rsid w:val="00804FA8"/>
    <w:rsid w:val="00844FCD"/>
    <w:rsid w:val="008F65A6"/>
    <w:rsid w:val="00930C06"/>
    <w:rsid w:val="00945FCF"/>
    <w:rsid w:val="00995FA3"/>
    <w:rsid w:val="009C73B9"/>
    <w:rsid w:val="009E37B1"/>
    <w:rsid w:val="00A82CBE"/>
    <w:rsid w:val="00AE5B27"/>
    <w:rsid w:val="00AF06EC"/>
    <w:rsid w:val="00B35B08"/>
    <w:rsid w:val="00BA6E10"/>
    <w:rsid w:val="00BB4A02"/>
    <w:rsid w:val="00BD4B04"/>
    <w:rsid w:val="00BD6503"/>
    <w:rsid w:val="00C32BA5"/>
    <w:rsid w:val="00C60103"/>
    <w:rsid w:val="00C645DF"/>
    <w:rsid w:val="00C92FBF"/>
    <w:rsid w:val="00C94D14"/>
    <w:rsid w:val="00CC4899"/>
    <w:rsid w:val="00CF54C0"/>
    <w:rsid w:val="00D029FB"/>
    <w:rsid w:val="00D34855"/>
    <w:rsid w:val="00D45A22"/>
    <w:rsid w:val="00D6631F"/>
    <w:rsid w:val="00D81276"/>
    <w:rsid w:val="00DB6B0E"/>
    <w:rsid w:val="00DF3E56"/>
    <w:rsid w:val="00E44AF6"/>
    <w:rsid w:val="00E91CE7"/>
    <w:rsid w:val="00EB4C93"/>
    <w:rsid w:val="00EF1725"/>
    <w:rsid w:val="00F33A91"/>
    <w:rsid w:val="00FB76C8"/>
    <w:rsid w:val="030A0C27"/>
    <w:rsid w:val="07DF4C58"/>
    <w:rsid w:val="0C2023B8"/>
    <w:rsid w:val="0C3476A1"/>
    <w:rsid w:val="0CD66F75"/>
    <w:rsid w:val="0CFB0E04"/>
    <w:rsid w:val="0E427E43"/>
    <w:rsid w:val="104F7BF5"/>
    <w:rsid w:val="15BA6B35"/>
    <w:rsid w:val="1772740C"/>
    <w:rsid w:val="19854258"/>
    <w:rsid w:val="1D606D4C"/>
    <w:rsid w:val="1FFF202F"/>
    <w:rsid w:val="20AE4FA9"/>
    <w:rsid w:val="232D4C74"/>
    <w:rsid w:val="2739626C"/>
    <w:rsid w:val="29A97F26"/>
    <w:rsid w:val="2AF15282"/>
    <w:rsid w:val="2EED096A"/>
    <w:rsid w:val="2F9905A6"/>
    <w:rsid w:val="38CD0256"/>
    <w:rsid w:val="39106EF0"/>
    <w:rsid w:val="3A457D6D"/>
    <w:rsid w:val="3C4B4F11"/>
    <w:rsid w:val="3D944A6D"/>
    <w:rsid w:val="43BD3D2A"/>
    <w:rsid w:val="44105A5D"/>
    <w:rsid w:val="462B2178"/>
    <w:rsid w:val="4F9F3625"/>
    <w:rsid w:val="580D5BA1"/>
    <w:rsid w:val="58744E8B"/>
    <w:rsid w:val="5EB25DC0"/>
    <w:rsid w:val="626C747B"/>
    <w:rsid w:val="65223CA6"/>
    <w:rsid w:val="65BD4A8A"/>
    <w:rsid w:val="67E0314A"/>
    <w:rsid w:val="684B57E3"/>
    <w:rsid w:val="6E9309F8"/>
    <w:rsid w:val="6FCD6184"/>
    <w:rsid w:val="6FE729EA"/>
    <w:rsid w:val="70AC28EB"/>
    <w:rsid w:val="73843C53"/>
    <w:rsid w:val="744501A4"/>
    <w:rsid w:val="79912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next w:val="1"/>
    <w:link w:val="9"/>
    <w:qFormat/>
    <w:uiPriority w:val="9"/>
    <w:pPr>
      <w:keepNext/>
      <w:keepLines/>
      <w:pBdr>
        <w:bottom w:val="single" w:color="DBE5F1" w:themeColor="accent1" w:themeTint="33" w:sz="8" w:space="0"/>
      </w:pBdr>
      <w:spacing w:after="200" w:line="300" w:lineRule="auto"/>
      <w:outlineLvl w:val="0"/>
    </w:pPr>
    <w:rPr>
      <w:rFonts w:eastAsia="Microsoft YaHei UI" w:asciiTheme="majorHAnsi" w:hAnsiTheme="majorHAnsi" w:cstheme="majorBidi"/>
      <w:color w:val="4F81BD" w:themeColor="accent1"/>
      <w:sz w:val="36"/>
      <w:szCs w:val="36"/>
      <w:lang w:val="en-US" w:eastAsia="ja-JP" w:bidi="ar-SA"/>
      <w14:textFill>
        <w14:solidFill>
          <w14:schemeClr w14:val="accent1"/>
        </w14:solidFill>
      </w14:textFill>
    </w:rPr>
  </w:style>
  <w:style w:type="paragraph" w:styleId="3">
    <w:name w:val="heading 2"/>
    <w:next w:val="1"/>
    <w:link w:val="10"/>
    <w:unhideWhenUsed/>
    <w:qFormat/>
    <w:uiPriority w:val="9"/>
    <w:pPr>
      <w:keepNext/>
      <w:keepLines/>
      <w:spacing w:before="120" w:after="120"/>
      <w:outlineLvl w:val="1"/>
    </w:pPr>
    <w:rPr>
      <w:rFonts w:eastAsia="Microsoft YaHei UI" w:asciiTheme="minorHAnsi" w:hAnsiTheme="minorHAnsi" w:cstheme="minorBidi"/>
      <w:b/>
      <w:bCs/>
      <w:color w:val="1F497D" w:themeColor="text2"/>
      <w:sz w:val="26"/>
      <w:szCs w:val="26"/>
      <w:lang w:val="en-US" w:eastAsia="ja-JP" w:bidi="ar-SA"/>
      <w14:textFill>
        <w14:solidFill>
          <w14:schemeClr w14:val="tx2"/>
        </w14:solidFill>
      </w14:textFill>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9"/>
    <w:rPr>
      <w:rFonts w:eastAsia="Microsoft YaHei UI" w:asciiTheme="majorHAnsi" w:hAnsiTheme="majorHAnsi" w:cstheme="majorBidi"/>
      <w:color w:val="4F81BD" w:themeColor="accent1"/>
      <w:kern w:val="0"/>
      <w:sz w:val="36"/>
      <w:szCs w:val="36"/>
      <w:lang w:eastAsia="ja-JP"/>
      <w14:textFill>
        <w14:solidFill>
          <w14:schemeClr w14:val="accent1"/>
        </w14:solidFill>
      </w14:textFill>
    </w:rPr>
  </w:style>
  <w:style w:type="character" w:customStyle="1" w:styleId="10">
    <w:name w:val="标题 2 Char"/>
    <w:basedOn w:val="8"/>
    <w:link w:val="3"/>
    <w:qFormat/>
    <w:uiPriority w:val="9"/>
    <w:rPr>
      <w:rFonts w:eastAsia="Microsoft YaHei UI"/>
      <w:b/>
      <w:bCs/>
      <w:color w:val="1F497D" w:themeColor="text2"/>
      <w:kern w:val="0"/>
      <w:sz w:val="26"/>
      <w:szCs w:val="26"/>
      <w:lang w:eastAsia="ja-JP"/>
      <w14:textFill>
        <w14:solidFill>
          <w14:schemeClr w14:val="tx2"/>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614E5-6592-40E0-B01A-6D6B56A590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715</Words>
  <Characters>4082</Characters>
  <Lines>34</Lines>
  <Paragraphs>9</Paragraphs>
  <TotalTime>0</TotalTime>
  <ScaleCrop>false</ScaleCrop>
  <LinksUpToDate>false</LinksUpToDate>
  <CharactersWithSpaces>4788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2020-08-14T09:05:00Z</dcterms:created>
  <dc:creator>ds</dc:creator>
  <cp:lastModifiedBy>Administrator</cp:lastModifiedBy>
  <dcterms:modified xsi:type="dcterms:W3CDTF">2025-10-21T03:18:02Z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B36C5C413B5B430EB5CB2A0CCE2C8593</vt:lpwstr>
  </property>
</Properties>
</file>