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val="en-US" w:eastAsia="zh-CN"/>
        </w:rPr>
        <w:t>藏医院</w:t>
      </w:r>
      <w:r>
        <w:rPr>
          <w:rFonts w:hint="eastAsia" w:ascii="方正小标宋_GBK" w:hAnsi="方正小标宋_GBK" w:eastAsia="方正小标宋_GBK" w:cs="方正小标宋_GBK"/>
          <w:sz w:val="44"/>
          <w:szCs w:val="44"/>
        </w:rPr>
        <w:t>2020年度部门决算</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val="en-US" w:eastAsia="zh-CN"/>
        </w:rPr>
        <w:t>藏医院</w:t>
      </w:r>
      <w:r>
        <w:rPr>
          <w:rFonts w:hint="eastAsia" w:ascii="黑体" w:hAnsi="黑体" w:eastAsia="黑体" w:cs="黑体"/>
          <w:b w:val="0"/>
          <w:bCs/>
          <w:szCs w:val="32"/>
        </w:rPr>
        <w:t>概况</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val="en-US" w:eastAsia="zh-CN"/>
        </w:rPr>
        <w:t>藏医院</w:t>
      </w:r>
      <w:r>
        <w:rPr>
          <w:rFonts w:hint="eastAsia" w:ascii="黑体" w:hAnsi="黑体" w:eastAsia="黑体" w:cs="黑体"/>
          <w:b w:val="0"/>
          <w:bCs/>
          <w:szCs w:val="32"/>
        </w:rPr>
        <w:t>2020年度部门决算表（见附表1）</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val="en-US" w:eastAsia="zh-CN"/>
        </w:rPr>
        <w:t>藏医院</w:t>
      </w:r>
      <w:r>
        <w:rPr>
          <w:rFonts w:hint="eastAsia" w:ascii="黑体" w:hAnsi="黑体" w:eastAsia="黑体" w:cs="黑体"/>
          <w:b w:val="0"/>
          <w:bCs/>
          <w:szCs w:val="32"/>
        </w:rPr>
        <w:t>2020年度部门决算数据说明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第四部分  名词解释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val="en-US" w:eastAsia="zh-CN"/>
        </w:rPr>
        <w:t>藏医院</w:t>
      </w:r>
      <w:r>
        <w:rPr>
          <w:rFonts w:hint="eastAsia" w:ascii="黑体" w:hAnsi="黑体" w:eastAsia="黑体" w:cs="黑体"/>
          <w:b w:val="0"/>
          <w:bCs w:val="0"/>
          <w:szCs w:val="32"/>
        </w:rPr>
        <w:t>概况</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val="en-US" w:eastAsia="zh-CN"/>
        </w:rPr>
        <w:t>藏医院</w:t>
      </w:r>
      <w:r>
        <w:rPr>
          <w:rFonts w:hint="eastAsia" w:ascii="方正仿宋_GBK" w:hAnsi="方正仿宋_GBK" w:eastAsia="方正仿宋_GBK" w:cs="方正仿宋_GBK"/>
          <w:szCs w:val="32"/>
        </w:rPr>
        <w:t>纳入本部门预算汇编范围的独立核算单位共1个。</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部门职责和机构设置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ascii="仿宋" w:hAnsi="仿宋" w:eastAsia="仿宋"/>
          <w:sz w:val="28"/>
          <w:szCs w:val="28"/>
        </w:rPr>
      </w:pPr>
      <w:r>
        <w:rPr>
          <w:rFonts w:hint="eastAsia" w:ascii="方正仿宋_GBK" w:hAnsi="方正仿宋_GBK" w:eastAsia="方正仿宋_GBK" w:cs="方正仿宋_GBK"/>
          <w:b/>
          <w:bCs/>
          <w:szCs w:val="32"/>
        </w:rPr>
        <w:t>（一）部门职责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贯彻执行党中央、国务院及自治区市县有关医疗卫生工作的方针、政策和法律法规。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贯彻落实医药卫生体制改革、藏西医并重方针和国家藏医药法律法规，执行藏医药政策；拟定实施藏西医结合发展战略、规划；指导全县各医疗机构发展藏医药和藏西医结合业务建设。</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开展有关藏医临床医学、健康保健、康复理疗等工作，确保全县人民藏医医疗健康需求。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建立与地方经济发展相适应的藏西医结合医疗环境，为人民群众的健康提供藏医医疗、预防、护理、康复和保健等医疗卫生服务。</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贯彻落实国家基本药物制度和药品集中采购工作，执行医用耗材集中采购工作；负责医院内部的药品和医疗器械管理工作。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开展有关藏医临床教学、培训及科研工作。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参与疫情等突发公共卫生事件与大型群体活动的医疗应急处置及保健、康复医疗服务工作。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充分发挥藏医药在国家基本公共卫生服务中的优势和作用，负责全县基本公共卫生藏医药健康管理服务，指导基层卫生机构藏医药业务工作。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做好城镇职工基本医疗保险、城镇居民基本医疗保险和新型农村合作医疗保险等定点医疗机构的各项工作。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参与卫生扶贫、重要会议及重大活动的医疗卫生保障工作。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完成县委县政府和业务主管部门交办的其他工作。</w:t>
      </w:r>
    </w:p>
    <w:p>
      <w:pPr>
        <w:pStyle w:val="13"/>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巴青县藏医院全额拨款事业编制20名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ascii="仿宋" w:hAnsi="仿宋" w:eastAsia="仿宋" w:cs="楷体"/>
          <w:b/>
          <w:bCs/>
          <w:sz w:val="32"/>
          <w:szCs w:val="32"/>
        </w:rPr>
      </w:pPr>
      <w:r>
        <w:rPr>
          <w:rFonts w:hint="eastAsia" w:ascii="仿宋" w:hAnsi="仿宋" w:eastAsia="仿宋" w:cs="楷体"/>
          <w:b/>
          <w:bCs/>
          <w:sz w:val="32"/>
          <w:szCs w:val="32"/>
        </w:rPr>
        <w:t>（二）机构设置</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巴青县藏医院</w:t>
      </w:r>
      <w:r>
        <w:rPr>
          <w:rFonts w:hint="eastAsia" w:ascii="方正仿宋_GBK" w:hAnsi="方正仿宋_GBK" w:eastAsia="方正仿宋_GBK" w:cs="方正仿宋_GBK"/>
          <w:sz w:val="32"/>
          <w:szCs w:val="32"/>
          <w:lang w:val="en-US" w:eastAsia="zh-CN"/>
        </w:rPr>
        <w:t>在职实有人数20人，其中：院长1名，副院长1名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其他人员18人，下设</w:t>
      </w:r>
      <w:r>
        <w:rPr>
          <w:rFonts w:hint="eastAsia" w:ascii="方正仿宋_GBK" w:hAnsi="方正仿宋_GBK" w:eastAsia="方正仿宋_GBK" w:cs="方正仿宋_GBK"/>
          <w:sz w:val="32"/>
          <w:szCs w:val="32"/>
        </w:rPr>
        <w:t>财务，药房，医务，门诊，B超室，藏医特色理疗，藏医制剂室</w:t>
      </w:r>
      <w:r>
        <w:rPr>
          <w:rFonts w:hint="eastAsia" w:ascii="方正仿宋_GBK" w:hAnsi="方正仿宋_GBK" w:eastAsia="方正仿宋_GBK" w:cs="方正仿宋_GBK"/>
          <w:sz w:val="32"/>
          <w:szCs w:val="32"/>
          <w:lang w:val="en-US" w:eastAsia="zh-CN"/>
        </w:rPr>
        <w:t>等7个科室。</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val="en-US" w:eastAsia="zh-CN"/>
        </w:rPr>
        <w:t>藏医院</w:t>
      </w:r>
      <w:r>
        <w:rPr>
          <w:rFonts w:hint="eastAsia" w:ascii="黑体" w:hAnsi="黑体" w:eastAsia="黑体" w:cs="黑体"/>
          <w:b w:val="0"/>
          <w:bCs w:val="0"/>
          <w:szCs w:val="32"/>
        </w:rPr>
        <w:t>2020年度部门决算表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（见附表1）</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第三部分</w:t>
      </w:r>
      <w:bookmarkStart w:id="0" w:name="_GoBack"/>
      <w:bookmarkEnd w:id="0"/>
      <w:r>
        <w:rPr>
          <w:rFonts w:hint="eastAsia" w:ascii="黑体" w:hAnsi="黑体" w:eastAsia="黑体" w:cs="黑体"/>
          <w:b w:val="0"/>
          <w:bCs w:val="0"/>
          <w:szCs w:val="32"/>
        </w:rPr>
        <w:t xml:space="preserve">  巴青县</w:t>
      </w:r>
      <w:r>
        <w:rPr>
          <w:rFonts w:hint="eastAsia" w:ascii="黑体" w:hAnsi="黑体" w:eastAsia="黑体" w:cs="黑体"/>
          <w:b w:val="0"/>
          <w:bCs w:val="0"/>
          <w:szCs w:val="32"/>
          <w:lang w:val="en-US" w:eastAsia="zh-CN"/>
        </w:rPr>
        <w:t>藏医院</w:t>
      </w:r>
      <w:r>
        <w:rPr>
          <w:rFonts w:hint="eastAsia" w:ascii="黑体" w:hAnsi="黑体" w:eastAsia="黑体" w:cs="黑体"/>
          <w:b w:val="0"/>
          <w:bCs w:val="0"/>
          <w:szCs w:val="32"/>
        </w:rPr>
        <w:t>2020年度部门决算数据说明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26.92</w:t>
      </w:r>
      <w:r>
        <w:rPr>
          <w:rFonts w:hint="eastAsia" w:ascii="方正仿宋_GBK" w:hAnsi="方正仿宋_GBK" w:eastAsia="方正仿宋_GBK" w:cs="方正仿宋_GBK"/>
          <w:szCs w:val="32"/>
        </w:rPr>
        <w:t>资金，一般公共预算财政拨款收入</w:t>
      </w:r>
      <w:r>
        <w:rPr>
          <w:rFonts w:hint="eastAsia" w:ascii="方正仿宋_GBK" w:hAnsi="方正仿宋_GBK" w:eastAsia="方正仿宋_GBK" w:cs="方正仿宋_GBK"/>
          <w:szCs w:val="32"/>
          <w:lang w:val="en-US" w:eastAsia="zh-CN"/>
        </w:rPr>
        <w:t>483.42</w:t>
      </w:r>
      <w:r>
        <w:rPr>
          <w:rFonts w:hint="eastAsia" w:ascii="方正仿宋_GBK" w:hAnsi="方正仿宋_GBK" w:eastAsia="方正仿宋_GBK" w:cs="方正仿宋_GBK"/>
          <w:szCs w:val="32"/>
        </w:rPr>
        <w:t>万元，本年支出合计</w:t>
      </w:r>
      <w:r>
        <w:rPr>
          <w:rFonts w:hint="eastAsia" w:ascii="方正仿宋_GBK" w:hAnsi="方正仿宋_GBK" w:eastAsia="方正仿宋_GBK" w:cs="方正仿宋_GBK"/>
          <w:szCs w:val="32"/>
          <w:lang w:val="en-US" w:eastAsia="zh-CN"/>
        </w:rPr>
        <w:t>417.37</w:t>
      </w:r>
      <w:r>
        <w:rPr>
          <w:rFonts w:hint="eastAsia" w:ascii="方正仿宋_GBK" w:hAnsi="方正仿宋_GBK" w:eastAsia="方正仿宋_GBK" w:cs="方正仿宋_GBK"/>
          <w:szCs w:val="32"/>
        </w:rPr>
        <w:t>万元，年末财政拨款结转和结余资金</w:t>
      </w:r>
      <w:r>
        <w:rPr>
          <w:rFonts w:hint="eastAsia" w:ascii="方正仿宋_GBK" w:hAnsi="方正仿宋_GBK" w:eastAsia="方正仿宋_GBK" w:cs="方正仿宋_GBK"/>
          <w:szCs w:val="32"/>
          <w:lang w:val="en-US" w:eastAsia="zh-CN"/>
        </w:rPr>
        <w:t>92.97</w:t>
      </w:r>
      <w:r>
        <w:rPr>
          <w:rFonts w:hint="eastAsia" w:ascii="方正仿宋_GBK" w:hAnsi="方正仿宋_GBK" w:eastAsia="方正仿宋_GBK" w:cs="方正仿宋_GBK"/>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我单位2020年收入合计5</w:t>
      </w:r>
      <w:r>
        <w:rPr>
          <w:rFonts w:hint="eastAsia" w:ascii="方正仿宋_GBK" w:hAnsi="方正仿宋_GBK" w:eastAsia="方正仿宋_GBK" w:cs="方正仿宋_GBK"/>
          <w:szCs w:val="32"/>
          <w:lang w:val="en-US" w:eastAsia="zh-CN"/>
        </w:rPr>
        <w:t>10.34</w:t>
      </w:r>
      <w:r>
        <w:rPr>
          <w:rFonts w:hint="eastAsia" w:ascii="方正仿宋_GBK" w:hAnsi="方正仿宋_GBK" w:eastAsia="方正仿宋_GBK" w:cs="方正仿宋_GBK"/>
          <w:szCs w:val="32"/>
        </w:rPr>
        <w:t>万元。其中，财政拨款收入</w:t>
      </w:r>
      <w:r>
        <w:rPr>
          <w:rFonts w:hint="eastAsia" w:ascii="方正仿宋_GBK" w:hAnsi="方正仿宋_GBK" w:eastAsia="方正仿宋_GBK" w:cs="方正仿宋_GBK"/>
          <w:szCs w:val="32"/>
          <w:lang w:val="en-US" w:eastAsia="zh-CN"/>
        </w:rPr>
        <w:t>510.34</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417.37</w:t>
      </w:r>
      <w:r>
        <w:rPr>
          <w:rFonts w:hint="eastAsia" w:ascii="方正仿宋_GBK" w:hAnsi="方正仿宋_GBK" w:eastAsia="方正仿宋_GBK" w:cs="方正仿宋_GBK"/>
          <w:szCs w:val="32"/>
        </w:rPr>
        <w:t>万元。其中，基本支出</w:t>
      </w:r>
      <w:r>
        <w:rPr>
          <w:rFonts w:hint="eastAsia" w:ascii="方正仿宋_GBK" w:hAnsi="方正仿宋_GBK" w:eastAsia="方正仿宋_GBK" w:cs="方正仿宋_GBK"/>
          <w:szCs w:val="32"/>
          <w:lang w:val="en-US" w:eastAsia="zh-CN"/>
        </w:rPr>
        <w:t>414.37</w:t>
      </w:r>
      <w:r>
        <w:rPr>
          <w:rFonts w:hint="eastAsia" w:ascii="方正仿宋_GBK" w:hAnsi="方正仿宋_GBK" w:eastAsia="方正仿宋_GBK" w:cs="方正仿宋_GBK"/>
          <w:szCs w:val="32"/>
        </w:rPr>
        <w:t>万元，项目支出</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万元，上缴上级支出0万元，经营支出0万元，对附属单位补助支出0万元。</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26.92</w:t>
      </w:r>
      <w:r>
        <w:rPr>
          <w:rFonts w:hint="eastAsia" w:ascii="方正仿宋_GBK" w:hAnsi="方正仿宋_GBK" w:eastAsia="方正仿宋_GBK" w:cs="方正仿宋_GBK"/>
          <w:szCs w:val="32"/>
        </w:rPr>
        <w:t xml:space="preserve"> 万元，本年财政拨款收入</w:t>
      </w:r>
      <w:r>
        <w:rPr>
          <w:rFonts w:hint="eastAsia" w:ascii="方正仿宋_GBK" w:hAnsi="方正仿宋_GBK" w:eastAsia="方正仿宋_GBK" w:cs="方正仿宋_GBK"/>
          <w:szCs w:val="32"/>
          <w:lang w:val="en-US" w:eastAsia="zh-CN"/>
        </w:rPr>
        <w:t>483.42</w:t>
      </w:r>
      <w:r>
        <w:rPr>
          <w:rFonts w:hint="eastAsia" w:ascii="方正仿宋_GBK" w:hAnsi="方正仿宋_GBK" w:eastAsia="方正仿宋_GBK" w:cs="方正仿宋_GBK"/>
          <w:szCs w:val="32"/>
        </w:rPr>
        <w:t>万元。其中，一般公共预算财政拨款收入</w:t>
      </w:r>
      <w:r>
        <w:rPr>
          <w:rFonts w:hint="eastAsia" w:ascii="方正仿宋_GBK" w:hAnsi="方正仿宋_GBK" w:eastAsia="方正仿宋_GBK" w:cs="方正仿宋_GBK"/>
          <w:szCs w:val="32"/>
          <w:lang w:val="en-US" w:eastAsia="zh-CN"/>
        </w:rPr>
        <w:t>483.42</w:t>
      </w:r>
      <w:r>
        <w:rPr>
          <w:rFonts w:hint="eastAsia" w:ascii="方正仿宋_GBK" w:hAnsi="方正仿宋_GBK" w:eastAsia="方正仿宋_GBK" w:cs="方正仿宋_GBK"/>
          <w:szCs w:val="32"/>
        </w:rPr>
        <w:t>万元，政府性基金预算财政拨款收入0万元，国有资本经营财政拨款收入0万元。本年财政拨款收入合计</w:t>
      </w:r>
      <w:r>
        <w:rPr>
          <w:rFonts w:hint="eastAsia" w:ascii="方正仿宋_GBK" w:hAnsi="方正仿宋_GBK" w:eastAsia="方正仿宋_GBK" w:cs="方正仿宋_GBK"/>
          <w:szCs w:val="32"/>
          <w:lang w:val="en-US" w:eastAsia="zh-CN"/>
        </w:rPr>
        <w:t>510.34</w:t>
      </w:r>
      <w:r>
        <w:rPr>
          <w:rFonts w:hint="eastAsia" w:ascii="方正仿宋_GBK" w:hAnsi="方正仿宋_GBK" w:eastAsia="方正仿宋_GBK" w:cs="方正仿宋_GBK"/>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hint="eastAsia" w:ascii="方正仿宋_GBK" w:hAnsi="方正仿宋_GBK" w:eastAsia="方正仿宋_GBK" w:cs="方正仿宋_GBK"/>
          <w:szCs w:val="32"/>
          <w:lang w:val="en-US" w:eastAsia="zh-CN"/>
        </w:rPr>
        <w:t>417.37</w:t>
      </w:r>
      <w:r>
        <w:rPr>
          <w:rFonts w:hint="eastAsia" w:ascii="方正仿宋_GBK" w:hAnsi="方正仿宋_GBK" w:eastAsia="方正仿宋_GBK" w:cs="方正仿宋_GBK"/>
          <w:szCs w:val="32"/>
        </w:rPr>
        <w:t>万元。其中，一般公共预算财政拨款支出</w:t>
      </w:r>
      <w:r>
        <w:rPr>
          <w:rFonts w:hint="eastAsia" w:ascii="方正仿宋_GBK" w:hAnsi="方正仿宋_GBK" w:eastAsia="方正仿宋_GBK" w:cs="方正仿宋_GBK"/>
          <w:szCs w:val="32"/>
          <w:lang w:val="en-US" w:eastAsia="zh-CN"/>
        </w:rPr>
        <w:t>417.37</w:t>
      </w:r>
      <w:r>
        <w:rPr>
          <w:rFonts w:hint="eastAsia" w:ascii="方正仿宋_GBK" w:hAnsi="方正仿宋_GBK" w:eastAsia="方正仿宋_GBK" w:cs="方正仿宋_GBK"/>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szCs w:val="32"/>
          <w:lang w:val="en-US" w:eastAsia="zh-CN"/>
        </w:rPr>
        <w:t>92.97</w:t>
      </w:r>
      <w:r>
        <w:rPr>
          <w:rFonts w:hint="eastAsia" w:ascii="方正仿宋_GBK" w:hAnsi="方正仿宋_GBK" w:eastAsia="方正仿宋_GBK" w:cs="方正仿宋_GBK"/>
          <w:szCs w:val="32"/>
        </w:rPr>
        <w:t>万元。本年财政拨款支出入合计</w:t>
      </w:r>
      <w:r>
        <w:rPr>
          <w:rFonts w:hint="eastAsia" w:ascii="方正仿宋_GBK" w:hAnsi="方正仿宋_GBK" w:eastAsia="方正仿宋_GBK" w:cs="方正仿宋_GBK"/>
          <w:szCs w:val="32"/>
          <w:lang w:val="en-US" w:eastAsia="zh-CN"/>
        </w:rPr>
        <w:t>417.37</w:t>
      </w:r>
      <w:r>
        <w:rPr>
          <w:rFonts w:hint="eastAsia" w:ascii="方正仿宋_GBK" w:hAnsi="方正仿宋_GBK" w:eastAsia="方正仿宋_GBK" w:cs="方正仿宋_GBK"/>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w:t>
      </w:r>
      <w:r>
        <w:rPr>
          <w:rFonts w:hint="eastAsia" w:ascii="方正仿宋_GBK" w:hAnsi="方正仿宋_GBK" w:eastAsia="方正仿宋_GBK" w:cs="方正仿宋_GBK"/>
          <w:szCs w:val="32"/>
          <w:lang w:val="en-US" w:eastAsia="zh-CN"/>
        </w:rPr>
        <w:t>16.81</w:t>
      </w:r>
      <w:r>
        <w:rPr>
          <w:rFonts w:hint="eastAsia" w:ascii="方正仿宋_GBK" w:hAnsi="方正仿宋_GBK" w:eastAsia="方正仿宋_GBK" w:cs="方正仿宋_GBK"/>
          <w:szCs w:val="32"/>
        </w:rPr>
        <w:t>万元 。</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hint="eastAsia" w:ascii="方正仿宋_GBK" w:hAnsi="方正仿宋_GBK" w:eastAsia="方正仿宋_GBK" w:cs="方正仿宋_GBK"/>
          <w:szCs w:val="32"/>
          <w:lang w:val="en-US" w:eastAsia="zh-CN"/>
        </w:rPr>
        <w:t>397.55</w:t>
      </w:r>
      <w:r>
        <w:rPr>
          <w:rFonts w:hint="eastAsia" w:ascii="方正仿宋_GBK" w:hAnsi="方正仿宋_GBK" w:eastAsia="方正仿宋_GBK" w:cs="方正仿宋_GBK"/>
          <w:szCs w:val="32"/>
        </w:rPr>
        <w:t>万元。其中，工资福利支出</w:t>
      </w:r>
      <w:r>
        <w:rPr>
          <w:rFonts w:hint="eastAsia" w:ascii="方正仿宋_GBK" w:hAnsi="方正仿宋_GBK" w:eastAsia="方正仿宋_GBK" w:cs="方正仿宋_GBK"/>
          <w:szCs w:val="32"/>
          <w:lang w:val="en-US" w:eastAsia="zh-CN"/>
        </w:rPr>
        <w:t>397.55</w:t>
      </w:r>
      <w:r>
        <w:rPr>
          <w:rFonts w:hint="eastAsia" w:ascii="方正仿宋_GBK" w:hAnsi="方正仿宋_GBK" w:eastAsia="方正仿宋_GBK" w:cs="方正仿宋_GBK"/>
          <w:szCs w:val="32"/>
        </w:rPr>
        <w:t>万元，对个人和家庭的补助0万元。</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hint="eastAsia" w:ascii="方正仿宋_GBK" w:hAnsi="方正仿宋_GBK" w:eastAsia="方正仿宋_GBK" w:cs="方正仿宋_GBK"/>
          <w:szCs w:val="32"/>
          <w:lang w:val="en-US" w:eastAsia="zh-CN"/>
        </w:rPr>
        <w:t>16.81</w:t>
      </w:r>
      <w:r>
        <w:rPr>
          <w:rFonts w:hint="eastAsia" w:ascii="方正仿宋_GBK" w:hAnsi="方正仿宋_GBK" w:eastAsia="方正仿宋_GBK" w:cs="方正仿宋_GBK"/>
          <w:szCs w:val="32"/>
        </w:rPr>
        <w:t>万元。其中，商品和服务支出</w:t>
      </w:r>
      <w:r>
        <w:rPr>
          <w:rFonts w:hint="eastAsia" w:ascii="方正仿宋_GBK" w:hAnsi="方正仿宋_GBK" w:eastAsia="方正仿宋_GBK" w:cs="方正仿宋_GBK"/>
          <w:szCs w:val="32"/>
          <w:lang w:val="en-US" w:eastAsia="zh-CN"/>
        </w:rPr>
        <w:t>16.81</w:t>
      </w:r>
      <w:r>
        <w:rPr>
          <w:rFonts w:hint="eastAsia" w:ascii="方正仿宋_GBK" w:hAnsi="方正仿宋_GBK" w:eastAsia="方正仿宋_GBK" w:cs="方正仿宋_GBK"/>
          <w:szCs w:val="32"/>
        </w:rPr>
        <w:t>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统一归政府办后勤管理。</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b/>
          <w:bCs/>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方正仿宋_GBK" w:hAnsi="方正仿宋_GBK" w:eastAsia="方正仿宋_GBK" w:cs="方正仿宋_GBK"/>
          <w:b/>
          <w:bCs/>
          <w:szCs w:val="32"/>
        </w:rPr>
        <w:t>名词解释</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5D387"/>
    <w:multiLevelType w:val="singleLevel"/>
    <w:tmpl w:val="6CE5D3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B6153AF"/>
    <w:rsid w:val="0C2023B8"/>
    <w:rsid w:val="0CD66F75"/>
    <w:rsid w:val="0CFB0E04"/>
    <w:rsid w:val="1323447F"/>
    <w:rsid w:val="15B726DA"/>
    <w:rsid w:val="1D606D4C"/>
    <w:rsid w:val="232D4C74"/>
    <w:rsid w:val="29A97F26"/>
    <w:rsid w:val="43BD3D2A"/>
    <w:rsid w:val="44570EDA"/>
    <w:rsid w:val="447D0415"/>
    <w:rsid w:val="4BA31C69"/>
    <w:rsid w:val="57D4728F"/>
    <w:rsid w:val="67E0314A"/>
    <w:rsid w:val="6E9309F8"/>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16</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2021-12-24T02:45:40Z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