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巴青县</w:t>
      </w:r>
      <w:r>
        <w:rPr>
          <w:rFonts w:hint="eastAsia" w:ascii="方正小标宋_GBK" w:hAnsi="方正小标宋_GBK" w:eastAsia="方正小标宋_GBK" w:cs="方正小标宋_GBK"/>
          <w:sz w:val="44"/>
          <w:szCs w:val="44"/>
          <w:lang w:eastAsia="zh-CN"/>
        </w:rPr>
        <w:t>纪委监委</w:t>
      </w:r>
      <w:r>
        <w:rPr>
          <w:rFonts w:hint="eastAsia" w:ascii="方正小标宋_GBK" w:hAnsi="方正小标宋_GBK" w:eastAsia="方正小标宋_GBK" w:cs="方正小标宋_GBK"/>
          <w:sz w:val="44"/>
          <w:szCs w:val="44"/>
        </w:rPr>
        <w:t>2020年度部门决算</w:t>
      </w:r>
    </w:p>
    <w:p>
      <w:pPr>
        <w:spacing w:line="576" w:lineRule="exact"/>
        <w:jc w:val="center"/>
        <w:rPr>
          <w:rFonts w:hint="eastAsia" w:ascii="方正仿宋简体" w:hAnsi="黑体" w:eastAsia="方正仿宋简体"/>
          <w:b/>
          <w:szCs w:val="32"/>
        </w:rPr>
      </w:pPr>
      <w:r>
        <w:rPr>
          <w:rFonts w:hint="eastAsia" w:ascii="方正仿宋_GBK" w:hAnsi="方正仿宋_GBK" w:eastAsia="方正仿宋_GBK" w:cs="方正仿宋_GBK"/>
          <w:b/>
          <w:szCs w:val="32"/>
        </w:rPr>
        <w:t>目  录</w:t>
      </w:r>
    </w:p>
    <w:p>
      <w:pPr>
        <w:spacing w:line="576" w:lineRule="exact"/>
        <w:ind w:firstLine="632" w:firstLineChars="200"/>
        <w:rPr>
          <w:rFonts w:hint="eastAsia" w:ascii="黑体" w:hAnsi="黑体" w:eastAsia="黑体" w:cs="黑体"/>
          <w:b w:val="0"/>
          <w:bCs/>
          <w:szCs w:val="32"/>
        </w:rPr>
      </w:pPr>
      <w:r>
        <w:rPr>
          <w:rFonts w:hint="eastAsia" w:ascii="黑体" w:hAnsi="黑体" w:eastAsia="黑体" w:cs="黑体"/>
          <w:b w:val="0"/>
          <w:bCs/>
          <w:szCs w:val="32"/>
        </w:rPr>
        <w:t>第一部分  巴青县</w:t>
      </w:r>
      <w:r>
        <w:rPr>
          <w:rFonts w:hint="eastAsia" w:ascii="黑体" w:hAnsi="黑体" w:eastAsia="黑体" w:cs="黑体"/>
          <w:b w:val="0"/>
          <w:bCs/>
          <w:szCs w:val="32"/>
          <w:lang w:eastAsia="zh-CN"/>
        </w:rPr>
        <w:t>纪委监委</w:t>
      </w:r>
      <w:r>
        <w:rPr>
          <w:rFonts w:hint="eastAsia" w:ascii="黑体" w:hAnsi="黑体" w:eastAsia="黑体" w:cs="黑体"/>
          <w:b w:val="0"/>
          <w:bCs/>
          <w:szCs w:val="32"/>
        </w:rPr>
        <w:t>概况</w:t>
      </w:r>
    </w:p>
    <w:p>
      <w:pPr>
        <w:spacing w:line="576" w:lineRule="exact"/>
        <w:ind w:firstLine="632" w:firstLineChars="200"/>
        <w:rPr>
          <w:rFonts w:hint="eastAsia" w:ascii="方正楷体简体" w:hAnsi="方正楷体简体" w:eastAsia="方正楷体简体" w:cs="方正楷体简体"/>
          <w:b/>
          <w:szCs w:val="32"/>
        </w:rPr>
      </w:pPr>
      <w:r>
        <w:rPr>
          <w:rFonts w:hint="eastAsia" w:ascii="方正楷体简体" w:hAnsi="方正楷体简体" w:eastAsia="方正楷体简体" w:cs="方正楷体简体"/>
          <w:szCs w:val="32"/>
        </w:rPr>
        <w:t>一、部门决算单位构成</w:t>
      </w:r>
    </w:p>
    <w:p>
      <w:pPr>
        <w:spacing w:line="576" w:lineRule="exact"/>
        <w:ind w:firstLine="632" w:firstLineChars="200"/>
        <w:rPr>
          <w:rFonts w:hint="eastAsia" w:ascii="方正楷体简体" w:hAnsi="方正楷体简体" w:eastAsia="方正楷体简体" w:cs="方正楷体简体"/>
          <w:b/>
          <w:szCs w:val="32"/>
        </w:rPr>
      </w:pPr>
      <w:r>
        <w:rPr>
          <w:rFonts w:hint="eastAsia" w:ascii="方正楷体简体" w:hAnsi="方正楷体简体" w:eastAsia="方正楷体简体" w:cs="方正楷体简体"/>
          <w:szCs w:val="32"/>
        </w:rPr>
        <w:t>二、部门职责和机构设置</w:t>
      </w:r>
    </w:p>
    <w:p>
      <w:pPr>
        <w:spacing w:line="576" w:lineRule="exact"/>
        <w:ind w:firstLine="632" w:firstLineChars="200"/>
        <w:rPr>
          <w:rFonts w:hint="eastAsia" w:ascii="黑体" w:hAnsi="黑体" w:eastAsia="黑体" w:cs="黑体"/>
          <w:b w:val="0"/>
          <w:bCs/>
          <w:szCs w:val="32"/>
        </w:rPr>
      </w:pPr>
      <w:r>
        <w:rPr>
          <w:rFonts w:hint="eastAsia" w:ascii="黑体" w:hAnsi="黑体" w:eastAsia="黑体" w:cs="黑体"/>
          <w:b w:val="0"/>
          <w:bCs/>
          <w:szCs w:val="32"/>
        </w:rPr>
        <w:t>第二部分  巴青县</w:t>
      </w:r>
      <w:r>
        <w:rPr>
          <w:rFonts w:hint="eastAsia" w:ascii="黑体" w:hAnsi="黑体" w:eastAsia="黑体" w:cs="黑体"/>
          <w:b w:val="0"/>
          <w:bCs/>
          <w:szCs w:val="32"/>
          <w:lang w:eastAsia="zh-CN"/>
        </w:rPr>
        <w:t>纪委监委</w:t>
      </w:r>
      <w:r>
        <w:rPr>
          <w:rFonts w:hint="eastAsia" w:ascii="黑体" w:hAnsi="黑体" w:eastAsia="黑体" w:cs="黑体"/>
          <w:b w:val="0"/>
          <w:bCs/>
          <w:szCs w:val="32"/>
        </w:rPr>
        <w:t>2020年度部门决算表（见附表1）</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四、财政拨款收入支出决算总表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六、一般公共预算财政拨款基本支出决算表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七、一般公共预算财政拨款“三公”经费支出决算表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八、政府性基金预算财政拨款收入支出决算表</w:t>
      </w:r>
    </w:p>
    <w:p>
      <w:pPr>
        <w:spacing w:line="576" w:lineRule="exact"/>
        <w:ind w:firstLine="632" w:firstLineChars="200"/>
        <w:rPr>
          <w:rFonts w:hint="eastAsia" w:ascii="黑体" w:hAnsi="黑体" w:eastAsia="黑体" w:cs="黑体"/>
          <w:b w:val="0"/>
          <w:bCs/>
          <w:szCs w:val="32"/>
        </w:rPr>
      </w:pPr>
      <w:r>
        <w:rPr>
          <w:rFonts w:hint="eastAsia" w:ascii="黑体" w:hAnsi="黑体" w:eastAsia="黑体" w:cs="黑体"/>
          <w:b w:val="0"/>
          <w:bCs/>
          <w:szCs w:val="32"/>
        </w:rPr>
        <w:t>第三部分  巴青县</w:t>
      </w:r>
      <w:r>
        <w:rPr>
          <w:rFonts w:hint="eastAsia" w:ascii="黑体" w:hAnsi="黑体" w:eastAsia="黑体" w:cs="黑体"/>
          <w:b w:val="0"/>
          <w:bCs/>
          <w:szCs w:val="32"/>
          <w:lang w:eastAsia="zh-CN"/>
        </w:rPr>
        <w:t>纪委监委</w:t>
      </w:r>
      <w:r>
        <w:rPr>
          <w:rFonts w:hint="eastAsia" w:ascii="黑体" w:hAnsi="黑体" w:eastAsia="黑体" w:cs="黑体"/>
          <w:b w:val="0"/>
          <w:bCs/>
          <w:szCs w:val="32"/>
        </w:rPr>
        <w:t>2020年度部门决算数据说明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一、收入支出决算总体情况说明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五、一般公共预算财政拨款“三公”经费支出决算情况说明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六、2020年度机关运行情况说明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七、政府采购情况说明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八、国有资产占有使用情况说明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九、扶贫资金情况说明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十、债务情况说明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十一</w:t>
      </w:r>
      <w:r>
        <w:rPr>
          <w:rFonts w:hint="eastAsia" w:ascii="方正楷体简体" w:hAnsi="方正楷体简体" w:eastAsia="方正楷体简体" w:cs="方正楷体简体"/>
          <w:szCs w:val="32"/>
          <w:lang w:eastAsia="zh-CN"/>
        </w:rPr>
        <w:t>、</w:t>
      </w:r>
      <w:r>
        <w:rPr>
          <w:rFonts w:hint="eastAsia" w:ascii="方正楷体简体" w:hAnsi="方正楷体简体" w:eastAsia="方正楷体简体" w:cs="方正楷体简体"/>
          <w:szCs w:val="32"/>
        </w:rPr>
        <w:t>重点、重大项目信息</w:t>
      </w:r>
    </w:p>
    <w:p>
      <w:pPr>
        <w:spacing w:line="576" w:lineRule="exact"/>
        <w:ind w:firstLine="632" w:firstLineChars="200"/>
        <w:rPr>
          <w:rFonts w:hint="eastAsia" w:ascii="黑体" w:hAnsi="黑体" w:eastAsia="黑体" w:cs="黑体"/>
          <w:b w:val="0"/>
          <w:bCs/>
          <w:szCs w:val="32"/>
        </w:rPr>
      </w:pPr>
      <w:r>
        <w:rPr>
          <w:rFonts w:hint="eastAsia" w:ascii="黑体" w:hAnsi="黑体" w:eastAsia="黑体" w:cs="黑体"/>
          <w:b w:val="0"/>
          <w:bCs/>
          <w:szCs w:val="32"/>
        </w:rPr>
        <w:t>第四部分  名词解释</w:t>
      </w: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sectPr>
          <w:pgSz w:w="11906" w:h="16838"/>
          <w:pgMar w:top="2098" w:right="1474" w:bottom="1985" w:left="1588" w:header="851" w:footer="1418" w:gutter="0"/>
          <w:cols w:space="720" w:num="1"/>
          <w:docGrid w:type="linesAndChars" w:linePitch="579" w:charSpace="-849"/>
        </w:sectPr>
      </w:pPr>
    </w:p>
    <w:p>
      <w:pPr>
        <w:spacing w:line="576" w:lineRule="exact"/>
        <w:jc w:val="center"/>
        <w:rPr>
          <w:rFonts w:hint="eastAsia" w:ascii="黑体" w:hAnsi="黑体" w:eastAsia="黑体" w:cs="黑体"/>
          <w:b w:val="0"/>
          <w:bCs w:val="0"/>
          <w:szCs w:val="32"/>
        </w:rPr>
      </w:pPr>
      <w:r>
        <w:rPr>
          <w:rFonts w:hint="eastAsia" w:ascii="黑体" w:hAnsi="黑体" w:eastAsia="黑体" w:cs="黑体"/>
          <w:b w:val="0"/>
          <w:bCs w:val="0"/>
          <w:szCs w:val="32"/>
        </w:rPr>
        <w:t>第一部分 巴青县</w:t>
      </w:r>
      <w:r>
        <w:rPr>
          <w:rFonts w:hint="eastAsia" w:ascii="黑体" w:hAnsi="黑体" w:eastAsia="黑体" w:cs="黑体"/>
          <w:b w:val="0"/>
          <w:bCs w:val="0"/>
          <w:szCs w:val="32"/>
          <w:lang w:eastAsia="zh-CN"/>
        </w:rPr>
        <w:t>纪委监委</w:t>
      </w:r>
      <w:r>
        <w:rPr>
          <w:rFonts w:hint="eastAsia" w:ascii="黑体" w:hAnsi="黑体" w:eastAsia="黑体" w:cs="黑体"/>
          <w:b w:val="0"/>
          <w:bCs w:val="0"/>
          <w:szCs w:val="32"/>
        </w:rPr>
        <w:t>概况</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一、部门决算单位构成</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巴青县</w:t>
      </w:r>
      <w:r>
        <w:rPr>
          <w:rFonts w:hint="eastAsia" w:ascii="方正仿宋_GBK" w:hAnsi="方正仿宋_GBK" w:eastAsia="方正仿宋_GBK" w:cs="方正仿宋_GBK"/>
          <w:szCs w:val="32"/>
          <w:lang w:eastAsia="zh-CN"/>
        </w:rPr>
        <w:t>纪委监委</w:t>
      </w:r>
      <w:r>
        <w:rPr>
          <w:rFonts w:hint="eastAsia" w:ascii="方正仿宋_GBK" w:hAnsi="方正仿宋_GBK" w:eastAsia="方正仿宋_GBK" w:cs="方正仿宋_GBK"/>
          <w:szCs w:val="32"/>
        </w:rPr>
        <w:t>纳入本部门预算汇编范围的独立核算单位共1个。</w:t>
      </w:r>
    </w:p>
    <w:p>
      <w:pPr>
        <w:pStyle w:val="6"/>
        <w:widowControl/>
        <w:wordWrap/>
        <w:adjustRightInd/>
        <w:snapToGrid/>
        <w:spacing w:before="0" w:beforeAutospacing="0" w:after="0" w:afterAutospacing="0" w:line="556" w:lineRule="exact"/>
        <w:ind w:left="0" w:leftChars="0" w:right="0"/>
        <w:jc w:val="both"/>
        <w:textAlignment w:val="auto"/>
        <w:outlineLvl w:val="9"/>
        <w:rPr>
          <w:rFonts w:ascii="黑体" w:hAnsi="黑体" w:eastAsia="黑体" w:cs="Arial"/>
          <w:color w:val="333333"/>
          <w:sz w:val="32"/>
        </w:rPr>
      </w:pPr>
      <w:r>
        <w:rPr>
          <w:rFonts w:hint="eastAsia" w:ascii="黑体" w:hAnsi="黑体" w:eastAsia="黑体" w:cs="Arial"/>
          <w:color w:val="333333"/>
          <w:sz w:val="32"/>
          <w:lang w:val="en-US" w:eastAsia="zh-CN"/>
        </w:rPr>
        <w:t xml:space="preserve">    </w:t>
      </w:r>
      <w:r>
        <w:rPr>
          <w:rFonts w:hint="eastAsia" w:ascii="方正楷体简体" w:hAnsi="方正楷体简体" w:eastAsia="方正楷体简体" w:cs="方正楷体简体"/>
          <w:kern w:val="2"/>
          <w:sz w:val="32"/>
          <w:szCs w:val="32"/>
          <w:lang w:val="en-US" w:eastAsia="zh-CN" w:bidi="ar-SA"/>
        </w:rPr>
        <w:t>二、部门职责和机构设置</w:t>
      </w:r>
    </w:p>
    <w:p>
      <w:pPr>
        <w:pStyle w:val="6"/>
        <w:widowControl/>
        <w:wordWrap/>
        <w:adjustRightInd/>
        <w:snapToGrid/>
        <w:spacing w:before="0" w:beforeAutospacing="0" w:after="0" w:afterAutospacing="0" w:line="556" w:lineRule="exact"/>
        <w:ind w:left="0" w:leftChars="0" w:right="0"/>
        <w:jc w:val="both"/>
        <w:textAlignment w:val="auto"/>
        <w:outlineLvl w:val="9"/>
        <w:rPr>
          <w:rFonts w:ascii="楷体" w:hAnsi="楷体" w:eastAsia="楷体" w:cs="Arial"/>
          <w:color w:val="333333"/>
          <w:sz w:val="32"/>
        </w:rPr>
      </w:pPr>
      <w:r>
        <w:rPr>
          <w:rFonts w:hint="eastAsia" w:ascii="楷体" w:hAnsi="楷体" w:eastAsia="楷体" w:cs="Arial"/>
          <w:bCs/>
          <w:color w:val="333333"/>
          <w:sz w:val="32"/>
          <w:lang w:val="en-US" w:eastAsia="zh-CN"/>
        </w:rPr>
        <w:t xml:space="preserve">   </w:t>
      </w:r>
      <w:r>
        <w:rPr>
          <w:rFonts w:hint="eastAsia" w:ascii="方正仿宋_GBK" w:hAnsi="方正仿宋_GBK" w:eastAsia="方正仿宋_GBK" w:cs="方正仿宋_GBK"/>
          <w:b/>
          <w:bCs w:val="0"/>
          <w:color w:val="333333"/>
          <w:sz w:val="32"/>
        </w:rPr>
        <w:t>（一）部门职责</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1.</w:t>
      </w:r>
      <w:r>
        <w:rPr>
          <w:rFonts w:hint="eastAsia" w:ascii="方正仿宋_GBK" w:hAnsi="方正仿宋_GBK" w:eastAsia="方正仿宋_GBK" w:cs="方正仿宋_GBK"/>
          <w:szCs w:val="32"/>
        </w:rPr>
        <w:t>负责全县党的纪律检查工作。贯彻落实党中央、自治区党委和市委关于纪律检查工作的决定、自治区纪委、市纪委和县委关于纪律检查工作的决策部署，维护党的章程和其他党内法规，检查党的路线方针政策和决议的执行情况，协助县委推进全面从严治党、加强党风建设和组织协调反腐败工作。</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2.</w:t>
      </w:r>
      <w:r>
        <w:rPr>
          <w:rFonts w:hint="eastAsia" w:ascii="方正仿宋_GBK" w:hAnsi="方正仿宋_GBK" w:eastAsia="方正仿宋_GBK" w:cs="方正仿宋_GBK"/>
          <w:szCs w:val="32"/>
        </w:rPr>
        <w:t>依照党的章程和其他党内法规履行监督、执纪、问责职责。负责经常对党员进行遵守纪律的教育，作出关于维护党纪的决定。对县委工作机关、县委批准设立的党组（党委），乡（镇）党委、纪委等党的组织和县管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3.</w:t>
      </w:r>
      <w:r>
        <w:rPr>
          <w:rFonts w:hint="eastAsia" w:ascii="方正仿宋_GBK" w:hAnsi="方正仿宋_GBK" w:eastAsia="方正仿宋_GBK" w:cs="方正仿宋_GBK"/>
          <w:szCs w:val="32"/>
        </w:rPr>
        <w:t>在县委的统一领导下，统筹协调全县巡察工作，配合县委巡察工作领导小组指导县委工作机关、县政府工作部门党组织以及乡（镇）巡察工作。</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4.</w:t>
      </w:r>
      <w:r>
        <w:rPr>
          <w:rFonts w:hint="eastAsia" w:ascii="方正仿宋_GBK" w:hAnsi="方正仿宋_GBK" w:eastAsia="方正仿宋_GBK" w:cs="方正仿宋_GBK"/>
          <w:szCs w:val="32"/>
        </w:rPr>
        <w:t>负责全县监察工作。贯彻落实党中央关于监察工作的决定、国家监委和自治区党委、自治区监委、市委、市监委和县委关于监察工作的决策部署，维护宪法法律，依法对县管行使公权力的公职人员进行监察，调查职务违法和职务犯罪，开展廉政建设和反腐败工作。</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5.</w:t>
      </w:r>
      <w:r>
        <w:rPr>
          <w:rFonts w:hint="eastAsia" w:ascii="方正仿宋_GBK" w:hAnsi="方正仿宋_GBK" w:eastAsia="方正仿宋_GBK" w:cs="方正仿宋_GBK"/>
          <w:szCs w:val="32"/>
        </w:rPr>
        <w:t>依照法律规定履行监督、调查、处置职责。推动开展廉政教育，对县管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人员进行问责。对涉嫌职务犯罪的，将调查结果移送人民检察院依法审查、提起公诉。向监察对象所在单位提出监察建议。</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6.</w:t>
      </w:r>
      <w:r>
        <w:rPr>
          <w:rFonts w:hint="eastAsia" w:ascii="方正仿宋_GBK" w:hAnsi="方正仿宋_GBK" w:eastAsia="方正仿宋_GBK" w:cs="方正仿宋_GBK"/>
          <w:szCs w:val="32"/>
        </w:rPr>
        <w:t>负责组织协调全面从严治党、党风廉政建设和反腐败宣传教育工作。</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7.</w:t>
      </w:r>
      <w:r>
        <w:rPr>
          <w:rFonts w:hint="eastAsia" w:ascii="方正仿宋_GBK" w:hAnsi="方正仿宋_GBK" w:eastAsia="方正仿宋_GBK" w:cs="方正仿宋_GBK"/>
          <w:szCs w:val="32"/>
        </w:rPr>
        <w:t>负责综合分析全面从严治党、党风廉政建设和反腐败工作情况，对纪检监察工作重要理论及实践问题进行调查研究。制定或者修改纪检监察制度规定，参与起草制定相关法规和规范性文件。</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8.</w:t>
      </w:r>
      <w:r>
        <w:rPr>
          <w:rFonts w:hint="eastAsia" w:ascii="方正仿宋_GBK" w:hAnsi="方正仿宋_GBK" w:eastAsia="方正仿宋_GBK" w:cs="方正仿宋_GBK"/>
          <w:szCs w:val="32"/>
        </w:rPr>
        <w:t>加强对反腐败追逃追赃和防逃工作的组织协调，督促有关单位做好相关工作。</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9.</w:t>
      </w:r>
      <w:r>
        <w:rPr>
          <w:rFonts w:hint="eastAsia" w:ascii="方正仿宋_GBK" w:hAnsi="方正仿宋_GBK" w:eastAsia="方正仿宋_GBK" w:cs="方正仿宋_GBK"/>
          <w:szCs w:val="32"/>
        </w:rPr>
        <w:t>根据干部管理权限，负责纪检监察系统、巡察机构领导班子建设、干部队伍建设和组织建设的综合规划、政策研究、制度建设和业务指导。会同有关方面做好乡级纪检机关、县管企业纪检监察机构领导班子建设有关工作；组织和指导纪检监察和巡察干部教育培训工作等。</w:t>
      </w:r>
    </w:p>
    <w:p>
      <w:pPr>
        <w:spacing w:line="576" w:lineRule="exact"/>
        <w:ind w:firstLine="632" w:firstLineChars="200"/>
        <w:rPr>
          <w:rFonts w:hint="eastAsia" w:ascii="方正仿宋_GBK" w:hAnsi="方正仿宋_GBK" w:eastAsia="方正仿宋_GBK" w:cs="方正仿宋_GBK"/>
          <w:szCs w:val="32"/>
          <w:lang w:eastAsia="zh-CN"/>
        </w:rPr>
      </w:pPr>
      <w:r>
        <w:rPr>
          <w:rFonts w:hint="eastAsia" w:ascii="方正仿宋_GBK" w:hAnsi="方正仿宋_GBK" w:eastAsia="方正仿宋_GBK" w:cs="方正仿宋_GBK"/>
          <w:szCs w:val="32"/>
          <w:lang w:val="en-US" w:eastAsia="zh-CN"/>
        </w:rPr>
        <w:t>10.</w:t>
      </w:r>
      <w:r>
        <w:rPr>
          <w:rFonts w:hint="eastAsia" w:ascii="方正仿宋_GBK" w:hAnsi="方正仿宋_GBK" w:eastAsia="方正仿宋_GBK" w:cs="方正仿宋_GBK"/>
          <w:szCs w:val="32"/>
        </w:rPr>
        <w:t>完成市纪委监委和县委交办的其他任务</w:t>
      </w:r>
      <w:r>
        <w:rPr>
          <w:rFonts w:hint="eastAsia" w:ascii="方正仿宋_GBK" w:hAnsi="方正仿宋_GBK" w:eastAsia="方正仿宋_GBK" w:cs="方正仿宋_GBK"/>
          <w:szCs w:val="32"/>
          <w:lang w:eastAsia="zh-CN"/>
        </w:rPr>
        <w:t>。</w:t>
      </w:r>
    </w:p>
    <w:p>
      <w:pPr>
        <w:spacing w:line="576" w:lineRule="exact"/>
        <w:ind w:firstLine="632" w:firstLineChars="200"/>
        <w:rPr>
          <w:rFonts w:hint="eastAsia" w:ascii="楷体" w:hAnsi="楷体" w:eastAsia="楷体" w:cs="Arial"/>
          <w:bCs/>
          <w:color w:val="333333"/>
          <w:sz w:val="32"/>
          <w:lang w:val="en-US" w:eastAsia="zh-CN"/>
        </w:rPr>
      </w:pPr>
      <w:r>
        <w:rPr>
          <w:rFonts w:hint="eastAsia" w:ascii="楷体" w:hAnsi="楷体" w:eastAsia="楷体" w:cs="Arial"/>
          <w:bCs/>
          <w:color w:val="333333"/>
          <w:sz w:val="32"/>
          <w:lang w:val="en-US" w:eastAsia="zh-CN"/>
        </w:rPr>
        <w:t>（二）机构设置</w:t>
      </w:r>
    </w:p>
    <w:p>
      <w:pPr>
        <w:pStyle w:val="6"/>
        <w:widowControl/>
        <w:wordWrap/>
        <w:adjustRightInd/>
        <w:snapToGrid/>
        <w:spacing w:before="0" w:beforeAutospacing="0" w:after="0" w:afterAutospacing="0" w:line="556" w:lineRule="exact"/>
        <w:ind w:left="0" w:leftChars="0" w:right="0"/>
        <w:textAlignment w:val="auto"/>
        <w:outlineLvl w:val="9"/>
        <w:rPr>
          <w:rFonts w:hint="eastAsia" w:ascii="方正仿宋_GBK" w:hAnsi="方正仿宋_GBK" w:eastAsia="方正仿宋_GBK" w:cs="方正仿宋_GBK"/>
          <w:kern w:val="2"/>
          <w:sz w:val="32"/>
          <w:szCs w:val="32"/>
          <w:lang w:val="en-US" w:eastAsia="zh-CN" w:bidi="ar-SA"/>
        </w:rPr>
      </w:pPr>
      <w:r>
        <w:rPr>
          <w:rFonts w:hint="eastAsia" w:ascii="仿宋" w:hAnsi="仿宋" w:eastAsia="仿宋" w:cs="Arial"/>
          <w:color w:val="000000"/>
          <w:sz w:val="32"/>
        </w:rPr>
        <w:t xml:space="preserve">    </w:t>
      </w:r>
      <w:r>
        <w:rPr>
          <w:rFonts w:hint="eastAsia" w:ascii="方正仿宋_GBK" w:hAnsi="方正仿宋_GBK" w:eastAsia="方正仿宋_GBK" w:cs="方正仿宋_GBK"/>
          <w:kern w:val="2"/>
          <w:sz w:val="32"/>
          <w:szCs w:val="32"/>
          <w:lang w:val="en-US" w:eastAsia="zh-CN" w:bidi="ar-SA"/>
        </w:rPr>
        <w:t>县纪委监委机关行政编制13名，领导职数6名：其中纪委书记1名、纪委副书记（正科级）2名、纪委常委2名；监委主任1名（由纪委书记兼任）、监委副主任2名（由纪委副书记兼任）、监委委员2名（1名由纪委常委兼任，1名专职委员）。内设机构副科级领导职数3名。</w:t>
      </w: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r>
        <w:rPr>
          <w:rFonts w:hint="eastAsia" w:ascii="黑体" w:hAnsi="黑体" w:eastAsia="黑体" w:cs="黑体"/>
          <w:b w:val="0"/>
          <w:bCs w:val="0"/>
          <w:szCs w:val="32"/>
        </w:rPr>
        <w:t>第二部分 巴青县</w:t>
      </w:r>
      <w:r>
        <w:rPr>
          <w:rFonts w:hint="eastAsia" w:ascii="黑体" w:hAnsi="黑体" w:eastAsia="黑体" w:cs="黑体"/>
          <w:b w:val="0"/>
          <w:bCs w:val="0"/>
          <w:szCs w:val="32"/>
          <w:lang w:eastAsia="zh-CN"/>
        </w:rPr>
        <w:t>纪委监委</w:t>
      </w:r>
      <w:r>
        <w:rPr>
          <w:rFonts w:hint="eastAsia" w:ascii="黑体" w:hAnsi="黑体" w:eastAsia="黑体" w:cs="黑体"/>
          <w:b w:val="0"/>
          <w:bCs w:val="0"/>
          <w:szCs w:val="32"/>
        </w:rPr>
        <w:t>2020年度部门决算表</w:t>
      </w:r>
    </w:p>
    <w:p>
      <w:pPr>
        <w:spacing w:line="576" w:lineRule="exact"/>
        <w:jc w:val="center"/>
        <w:rPr>
          <w:rFonts w:hint="eastAsia" w:ascii="黑体" w:hAnsi="黑体" w:eastAsia="黑体" w:cs="黑体"/>
          <w:b w:val="0"/>
          <w:bCs w:val="0"/>
          <w:szCs w:val="32"/>
        </w:rPr>
      </w:pPr>
      <w:r>
        <w:rPr>
          <w:rFonts w:hint="eastAsia" w:ascii="黑体" w:hAnsi="黑体" w:eastAsia="黑体" w:cs="黑体"/>
          <w:b w:val="0"/>
          <w:bCs w:val="0"/>
          <w:szCs w:val="32"/>
        </w:rPr>
        <w:t>（见附表1）</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四、财政拨款收入支出决算总表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六、一般公共预算财政拨款基本支出决算表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七、一般公共预算财政拨款“三公”经费支出决算表</w:t>
      </w:r>
    </w:p>
    <w:p>
      <w:pPr>
        <w:spacing w:line="576" w:lineRule="exact"/>
        <w:ind w:firstLine="632" w:firstLineChars="200"/>
        <w:rPr>
          <w:rFonts w:hint="eastAsia" w:ascii="方正仿宋_GBK" w:hAnsi="方正仿宋_GBK" w:eastAsia="方正仿宋_GBK" w:cs="方正仿宋_GBK"/>
          <w:szCs w:val="32"/>
        </w:rPr>
      </w:pPr>
      <w:r>
        <w:rPr>
          <w:rFonts w:hint="eastAsia" w:ascii="方正楷体简体" w:hAnsi="方正楷体简体" w:eastAsia="方正楷体简体" w:cs="方正楷体简体"/>
          <w:szCs w:val="32"/>
        </w:rPr>
        <w:t>八、政府性基金预算财政拨款收入支出决算表</w:t>
      </w: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r>
        <w:rPr>
          <w:rFonts w:hint="eastAsia" w:ascii="黑体" w:hAnsi="黑体" w:eastAsia="黑体" w:cs="黑体"/>
          <w:b w:val="0"/>
          <w:bCs w:val="0"/>
          <w:szCs w:val="32"/>
        </w:rPr>
        <w:t>第三部分  巴青县</w:t>
      </w:r>
      <w:r>
        <w:rPr>
          <w:rFonts w:hint="eastAsia" w:ascii="黑体" w:hAnsi="黑体" w:eastAsia="黑体" w:cs="黑体"/>
          <w:b w:val="0"/>
          <w:bCs w:val="0"/>
          <w:szCs w:val="32"/>
          <w:lang w:eastAsia="zh-CN"/>
        </w:rPr>
        <w:t>纪委监委</w:t>
      </w:r>
      <w:r>
        <w:rPr>
          <w:rFonts w:hint="eastAsia" w:ascii="黑体" w:hAnsi="黑体" w:eastAsia="黑体" w:cs="黑体"/>
          <w:b w:val="0"/>
          <w:bCs w:val="0"/>
          <w:szCs w:val="32"/>
        </w:rPr>
        <w:t>2020年度部门决算数据说明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一、收入支出决算总体情况说明</w:t>
      </w:r>
    </w:p>
    <w:p>
      <w:pPr>
        <w:pStyle w:val="6"/>
        <w:widowControl/>
        <w:wordWrap/>
        <w:adjustRightInd/>
        <w:snapToGrid/>
        <w:spacing w:before="0" w:beforeAutospacing="0" w:after="0" w:afterAutospacing="0" w:line="556" w:lineRule="exact"/>
        <w:ind w:left="0" w:leftChars="0" w:right="0" w:firstLine="632" w:firstLineChars="200"/>
        <w:jc w:val="both"/>
        <w:textAlignment w:val="auto"/>
        <w:outlineLvl w:val="9"/>
        <w:rPr>
          <w:rFonts w:hint="eastAsia" w:ascii="方正仿宋_GBK" w:hAnsi="方正仿宋_GBK" w:eastAsia="方正仿宋_GBK" w:cs="方正仿宋_GBK"/>
          <w:szCs w:val="32"/>
        </w:rPr>
      </w:pPr>
      <w:r>
        <w:rPr>
          <w:rFonts w:hint="eastAsia" w:ascii="方正仿宋_GBK" w:hAnsi="方正仿宋_GBK" w:eastAsia="方正仿宋_GBK" w:cs="方正仿宋_GBK"/>
          <w:color w:val="000000"/>
          <w:sz w:val="32"/>
          <w:lang w:val="en-US" w:eastAsia="zh-CN"/>
        </w:rPr>
        <w:t>我委2020年年初结转结余91.75万元，一般公共预算财政拨款</w:t>
      </w:r>
      <w:r>
        <w:rPr>
          <w:rFonts w:hint="eastAsia" w:ascii="方正仿宋_GBK" w:hAnsi="方正仿宋_GBK" w:eastAsia="方正仿宋_GBK" w:cs="方正仿宋_GBK"/>
          <w:color w:val="000000"/>
          <w:sz w:val="32"/>
        </w:rPr>
        <w:t>收入</w:t>
      </w:r>
      <w:r>
        <w:rPr>
          <w:rFonts w:hint="eastAsia" w:ascii="方正仿宋_GBK" w:hAnsi="方正仿宋_GBK" w:eastAsia="方正仿宋_GBK" w:cs="方正仿宋_GBK"/>
          <w:color w:val="000000"/>
          <w:sz w:val="32"/>
          <w:lang w:val="en-US" w:eastAsia="zh-CN"/>
        </w:rPr>
        <w:t>927.42</w:t>
      </w:r>
      <w:r>
        <w:rPr>
          <w:rFonts w:hint="eastAsia" w:ascii="方正仿宋_GBK" w:hAnsi="方正仿宋_GBK" w:eastAsia="方正仿宋_GBK" w:cs="方正仿宋_GBK"/>
          <w:color w:val="000000"/>
          <w:sz w:val="32"/>
        </w:rPr>
        <w:t>万元。</w:t>
      </w:r>
      <w:r>
        <w:rPr>
          <w:rFonts w:hint="eastAsia" w:ascii="方正仿宋_GBK" w:hAnsi="方正仿宋_GBK" w:eastAsia="方正仿宋_GBK" w:cs="方正仿宋_GBK"/>
          <w:color w:val="000000"/>
          <w:sz w:val="32"/>
          <w:lang w:val="en-US" w:eastAsia="zh-CN"/>
        </w:rPr>
        <w:t>我委2020年</w:t>
      </w:r>
      <w:r>
        <w:rPr>
          <w:rFonts w:hint="eastAsia" w:ascii="方正仿宋_GBK" w:hAnsi="方正仿宋_GBK" w:eastAsia="方正仿宋_GBK" w:cs="方正仿宋_GBK"/>
          <w:color w:val="000000"/>
          <w:sz w:val="32"/>
        </w:rPr>
        <w:t>预算支出</w:t>
      </w:r>
      <w:r>
        <w:rPr>
          <w:rFonts w:hint="eastAsia" w:ascii="方正仿宋_GBK" w:hAnsi="方正仿宋_GBK" w:eastAsia="方正仿宋_GBK" w:cs="方正仿宋_GBK"/>
          <w:color w:val="000000"/>
          <w:sz w:val="32"/>
          <w:lang w:val="en-US" w:eastAsia="zh-CN"/>
        </w:rPr>
        <w:t>754.04</w:t>
      </w:r>
      <w:r>
        <w:rPr>
          <w:rFonts w:hint="eastAsia" w:ascii="方正仿宋_GBK" w:hAnsi="方正仿宋_GBK" w:eastAsia="方正仿宋_GBK" w:cs="方正仿宋_GBK"/>
          <w:color w:val="000000"/>
          <w:sz w:val="32"/>
        </w:rPr>
        <w:t>万元</w:t>
      </w:r>
      <w:r>
        <w:rPr>
          <w:rFonts w:hint="eastAsia" w:ascii="方正仿宋_GBK" w:hAnsi="方正仿宋_GBK" w:eastAsia="方正仿宋_GBK" w:cs="方正仿宋_GBK"/>
          <w:color w:val="000000"/>
          <w:sz w:val="32"/>
          <w:lang w:eastAsia="zh-CN"/>
        </w:rPr>
        <w:t>，</w:t>
      </w:r>
      <w:r>
        <w:rPr>
          <w:rFonts w:hint="eastAsia" w:ascii="方正仿宋_GBK" w:hAnsi="方正仿宋_GBK" w:eastAsia="方正仿宋_GBK" w:cs="方正仿宋_GBK"/>
          <w:color w:val="000000"/>
          <w:sz w:val="32"/>
          <w:lang w:val="en-US" w:eastAsia="zh-CN"/>
        </w:rPr>
        <w:t>年末财政拨款结转结余265.13万元。</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二、收入决算情况说明</w:t>
      </w:r>
    </w:p>
    <w:p>
      <w:pPr>
        <w:pStyle w:val="6"/>
        <w:widowControl/>
        <w:wordWrap/>
        <w:adjustRightInd/>
        <w:snapToGrid/>
        <w:spacing w:before="0" w:beforeAutospacing="0" w:after="0" w:afterAutospacing="0" w:line="556" w:lineRule="exact"/>
        <w:ind w:left="0" w:leftChars="0" w:right="0" w:firstLine="632" w:firstLineChars="200"/>
        <w:jc w:val="both"/>
        <w:textAlignment w:val="auto"/>
        <w:outlineLvl w:val="9"/>
        <w:rPr>
          <w:rFonts w:hint="eastAsia" w:ascii="方正仿宋_GBK" w:hAnsi="方正仿宋_GBK" w:eastAsia="方正仿宋_GBK" w:cs="方正仿宋_GBK"/>
          <w:color w:val="000000"/>
          <w:sz w:val="32"/>
          <w:lang w:val="en-US" w:eastAsia="zh-CN"/>
        </w:rPr>
      </w:pPr>
      <w:r>
        <w:rPr>
          <w:rFonts w:hint="eastAsia" w:ascii="方正仿宋_GBK" w:hAnsi="方正仿宋_GBK" w:eastAsia="方正仿宋_GBK" w:cs="方正仿宋_GBK"/>
          <w:color w:val="000000"/>
          <w:sz w:val="32"/>
          <w:lang w:val="en-US" w:eastAsia="zh-CN"/>
        </w:rPr>
        <w:t>我单位2020年收入合计927.42万元。其中，财政拨款收入927.42万元，上级补助收入0万元，事业收入0万元，经营收入0万元，附属单位上缴收入0万元，其他收入0万元。</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三、支出决算情况说明</w:t>
      </w:r>
    </w:p>
    <w:p>
      <w:pPr>
        <w:pStyle w:val="6"/>
        <w:widowControl/>
        <w:wordWrap/>
        <w:adjustRightInd/>
        <w:snapToGrid/>
        <w:spacing w:before="0" w:beforeAutospacing="0" w:after="0" w:afterAutospacing="0" w:line="556" w:lineRule="exact"/>
        <w:ind w:left="0" w:leftChars="0" w:right="0" w:firstLine="632" w:firstLineChars="200"/>
        <w:jc w:val="both"/>
        <w:textAlignment w:val="auto"/>
        <w:outlineLvl w:val="9"/>
        <w:rPr>
          <w:rFonts w:hint="eastAsia" w:ascii="方正仿宋_GBK" w:hAnsi="方正仿宋_GBK" w:eastAsia="方正仿宋_GBK" w:cs="方正仿宋_GBK"/>
          <w:color w:val="000000"/>
          <w:sz w:val="32"/>
          <w:lang w:val="en-US" w:eastAsia="zh-CN"/>
        </w:rPr>
      </w:pPr>
      <w:r>
        <w:rPr>
          <w:rFonts w:hint="eastAsia" w:ascii="方正仿宋_GBK" w:hAnsi="方正仿宋_GBK" w:eastAsia="方正仿宋_GBK" w:cs="方正仿宋_GBK"/>
          <w:color w:val="000000"/>
          <w:sz w:val="32"/>
          <w:lang w:val="en-US" w:eastAsia="zh-CN"/>
        </w:rPr>
        <w:t>我单位2020年支出合计754.04万元。其中，基本支出754.04万元，项目支出0万元，上缴上级支出0万元，经营支出0万元，对附属单位补助支出0万元。</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四、财政拨款收入支出决算情况说明</w:t>
      </w:r>
    </w:p>
    <w:p>
      <w:pPr>
        <w:pStyle w:val="6"/>
        <w:widowControl/>
        <w:wordWrap/>
        <w:adjustRightInd/>
        <w:snapToGrid/>
        <w:spacing w:before="0" w:beforeAutospacing="0" w:after="0" w:afterAutospacing="0" w:line="556" w:lineRule="exact"/>
        <w:ind w:left="0" w:leftChars="0" w:right="0" w:firstLine="632" w:firstLineChars="200"/>
        <w:jc w:val="both"/>
        <w:textAlignment w:val="auto"/>
        <w:outlineLvl w:val="9"/>
        <w:rPr>
          <w:rFonts w:hint="eastAsia" w:ascii="方正仿宋_GBK" w:hAnsi="方正仿宋_GBK" w:eastAsia="方正仿宋_GBK" w:cs="方正仿宋_GBK"/>
          <w:color w:val="000000"/>
          <w:sz w:val="32"/>
          <w:lang w:val="en-US" w:eastAsia="zh-CN"/>
        </w:rPr>
      </w:pPr>
      <w:r>
        <w:rPr>
          <w:rFonts w:hint="eastAsia" w:ascii="方正仿宋_GBK" w:hAnsi="方正仿宋_GBK" w:eastAsia="方正仿宋_GBK" w:cs="方正仿宋_GBK"/>
          <w:color w:val="000000"/>
          <w:sz w:val="32"/>
          <w:lang w:val="en-US" w:eastAsia="zh-CN"/>
        </w:rPr>
        <w:t>我单位2020年年初财政拨款结转和结余91.75万元，本年财政拨款收入927.42万元。其中，一般公共预算财政拨款收入927.42万元，政府性基金预算财政拨款收入0万元，国有资本经营财政拨款收入0万元。本年财政拨款收入合计1019.17万元。</w:t>
      </w:r>
    </w:p>
    <w:p>
      <w:pPr>
        <w:pStyle w:val="6"/>
        <w:widowControl/>
        <w:wordWrap/>
        <w:adjustRightInd/>
        <w:snapToGrid/>
        <w:spacing w:before="0" w:beforeAutospacing="0" w:after="0" w:afterAutospacing="0" w:line="556" w:lineRule="exact"/>
        <w:ind w:left="0" w:leftChars="0" w:right="0" w:firstLine="632" w:firstLineChars="200"/>
        <w:jc w:val="both"/>
        <w:textAlignment w:val="auto"/>
        <w:outlineLvl w:val="9"/>
        <w:rPr>
          <w:rFonts w:hint="eastAsia" w:ascii="方正仿宋_GBK" w:hAnsi="方正仿宋_GBK" w:eastAsia="方正仿宋_GBK" w:cs="方正仿宋_GBK"/>
          <w:color w:val="000000"/>
          <w:sz w:val="32"/>
          <w:lang w:val="en-US" w:eastAsia="zh-CN"/>
        </w:rPr>
      </w:pPr>
      <w:r>
        <w:rPr>
          <w:rFonts w:hint="eastAsia" w:ascii="方正仿宋_GBK" w:hAnsi="方正仿宋_GBK" w:eastAsia="方正仿宋_GBK" w:cs="方正仿宋_GBK"/>
          <w:color w:val="000000"/>
          <w:sz w:val="32"/>
          <w:lang w:val="en-US" w:eastAsia="zh-CN"/>
        </w:rPr>
        <w:t>我单位2020年财政拨款支出754.04万元。其中，一般公共预算财政拨款支出754.04万元，政府性基金预算财政拨款支出0万元，国有资本经营财政拨款支出0万元。本年年末财政拨款结转和结余265.13万元。本年财政拨款支出入合计1019.17万元。</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五、一般公共预算财政拨款“三公”经费支出决算情况说明</w:t>
      </w:r>
    </w:p>
    <w:p>
      <w:pPr>
        <w:pStyle w:val="6"/>
        <w:widowControl/>
        <w:wordWrap/>
        <w:adjustRightInd/>
        <w:snapToGrid/>
        <w:spacing w:before="0" w:beforeAutospacing="0" w:after="0" w:afterAutospacing="0" w:line="556" w:lineRule="exact"/>
        <w:ind w:left="0" w:leftChars="0" w:right="0" w:firstLine="632" w:firstLineChars="200"/>
        <w:jc w:val="both"/>
        <w:textAlignment w:val="auto"/>
        <w:outlineLvl w:val="9"/>
        <w:rPr>
          <w:rFonts w:hint="eastAsia" w:ascii="方正仿宋_GBK" w:hAnsi="方正仿宋_GBK" w:eastAsia="方正仿宋_GBK" w:cs="方正仿宋_GBK"/>
          <w:color w:val="000000"/>
          <w:sz w:val="32"/>
          <w:lang w:val="en-US" w:eastAsia="zh-CN"/>
        </w:rPr>
      </w:pPr>
      <w:r>
        <w:rPr>
          <w:rFonts w:hint="eastAsia" w:ascii="方正仿宋_GBK" w:hAnsi="方正仿宋_GBK" w:eastAsia="方正仿宋_GBK" w:cs="方正仿宋_GBK"/>
          <w:color w:val="000000"/>
          <w:sz w:val="32"/>
          <w:lang w:val="en-US" w:eastAsia="zh-CN"/>
        </w:rPr>
        <w:t>我单位2020年一般公共预算财政拨款“三公”经费支出0万元 。</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六、2020年度机关运行情况说明</w:t>
      </w:r>
    </w:p>
    <w:p>
      <w:pPr>
        <w:pStyle w:val="6"/>
        <w:widowControl/>
        <w:wordWrap/>
        <w:adjustRightInd/>
        <w:snapToGrid/>
        <w:spacing w:before="0" w:beforeAutospacing="0" w:after="0" w:afterAutospacing="0" w:line="556" w:lineRule="exact"/>
        <w:ind w:left="0" w:leftChars="0" w:right="0" w:firstLine="632" w:firstLineChars="200"/>
        <w:jc w:val="both"/>
        <w:textAlignment w:val="auto"/>
        <w:outlineLvl w:val="9"/>
        <w:rPr>
          <w:rFonts w:hint="eastAsia" w:ascii="方正仿宋_GBK" w:hAnsi="方正仿宋_GBK" w:eastAsia="方正仿宋_GBK" w:cs="方正仿宋_GBK"/>
          <w:color w:val="000000"/>
          <w:sz w:val="32"/>
          <w:lang w:val="en-US" w:eastAsia="zh-CN"/>
        </w:rPr>
      </w:pPr>
      <w:r>
        <w:rPr>
          <w:rFonts w:hint="eastAsia" w:ascii="方正仿宋_GBK" w:hAnsi="方正仿宋_GBK" w:eastAsia="方正仿宋_GBK" w:cs="方正仿宋_GBK"/>
          <w:color w:val="000000"/>
          <w:sz w:val="32"/>
          <w:lang w:val="en-US" w:eastAsia="zh-CN"/>
        </w:rPr>
        <w:t>我单位2020年人员经费支出653.50万元。其中，工资福利支出649.73万元，对个人和家庭的补助3.77万元。</w:t>
      </w:r>
    </w:p>
    <w:p>
      <w:pPr>
        <w:pStyle w:val="6"/>
        <w:widowControl/>
        <w:wordWrap/>
        <w:adjustRightInd/>
        <w:snapToGrid/>
        <w:spacing w:before="0" w:beforeAutospacing="0" w:after="0" w:afterAutospacing="0" w:line="556" w:lineRule="exact"/>
        <w:ind w:left="0" w:leftChars="0" w:right="0" w:firstLine="632" w:firstLineChars="200"/>
        <w:jc w:val="both"/>
        <w:textAlignment w:val="auto"/>
        <w:outlineLvl w:val="9"/>
        <w:rPr>
          <w:rFonts w:hint="eastAsia" w:ascii="方正仿宋_GBK" w:hAnsi="方正仿宋_GBK" w:eastAsia="方正仿宋_GBK" w:cs="方正仿宋_GBK"/>
          <w:color w:val="000000"/>
          <w:sz w:val="32"/>
          <w:lang w:val="en-US" w:eastAsia="zh-CN"/>
        </w:rPr>
      </w:pPr>
      <w:r>
        <w:rPr>
          <w:rFonts w:hint="eastAsia" w:ascii="方正仿宋_GBK" w:hAnsi="方正仿宋_GBK" w:eastAsia="方正仿宋_GBK" w:cs="方正仿宋_GBK"/>
          <w:color w:val="000000"/>
          <w:sz w:val="32"/>
          <w:lang w:val="en-US" w:eastAsia="zh-CN"/>
        </w:rPr>
        <w:t>我单位2020年公用经费支出100.54万元。其中，商品和服务支出100.54万元，债务利息及费用支出0万元，资本性支出0万元，其他支出0万元。</w:t>
      </w:r>
    </w:p>
    <w:p>
      <w:pPr>
        <w:spacing w:line="576" w:lineRule="exact"/>
        <w:ind w:firstLine="632" w:firstLineChars="200"/>
        <w:rPr>
          <w:rFonts w:hint="eastAsia" w:ascii="方正仿宋_GBK" w:hAnsi="方正仿宋_GBK" w:eastAsia="方正仿宋_GBK" w:cs="方正仿宋_GBK"/>
          <w:szCs w:val="32"/>
        </w:rPr>
      </w:pPr>
      <w:r>
        <w:rPr>
          <w:rFonts w:hint="eastAsia" w:ascii="方正楷体简体" w:hAnsi="方正楷体简体" w:eastAsia="方正楷体简体" w:cs="方正楷体简体"/>
          <w:szCs w:val="32"/>
        </w:rPr>
        <w:t>七、政府采购情况说明</w:t>
      </w:r>
    </w:p>
    <w:p>
      <w:pPr>
        <w:pStyle w:val="6"/>
        <w:widowControl/>
        <w:wordWrap/>
        <w:adjustRightInd/>
        <w:snapToGrid/>
        <w:spacing w:before="0" w:beforeAutospacing="0" w:after="0" w:afterAutospacing="0" w:line="556" w:lineRule="exact"/>
        <w:ind w:left="0" w:leftChars="0" w:right="0" w:firstLine="632" w:firstLineChars="200"/>
        <w:jc w:val="both"/>
        <w:textAlignment w:val="auto"/>
        <w:outlineLvl w:val="9"/>
        <w:rPr>
          <w:rFonts w:hint="eastAsia" w:ascii="方正仿宋_GBK" w:hAnsi="方正仿宋_GBK" w:eastAsia="方正仿宋_GBK" w:cs="方正仿宋_GBK"/>
          <w:color w:val="000000"/>
          <w:sz w:val="32"/>
          <w:lang w:val="en-US" w:eastAsia="zh-CN"/>
        </w:rPr>
      </w:pPr>
      <w:r>
        <w:rPr>
          <w:rFonts w:hint="eastAsia" w:ascii="方正仿宋_GBK" w:hAnsi="方正仿宋_GBK" w:eastAsia="方正仿宋_GBK" w:cs="方正仿宋_GBK"/>
          <w:color w:val="000000"/>
          <w:sz w:val="32"/>
          <w:lang w:val="en-US" w:eastAsia="zh-CN"/>
        </w:rPr>
        <w:t>我单位2020年无政府采购项目。</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八、国有资产占有使用情况说明</w:t>
      </w:r>
    </w:p>
    <w:p>
      <w:pPr>
        <w:pStyle w:val="6"/>
        <w:widowControl/>
        <w:wordWrap/>
        <w:adjustRightInd/>
        <w:snapToGrid/>
        <w:spacing w:before="0" w:beforeAutospacing="0" w:after="0" w:afterAutospacing="0" w:line="556" w:lineRule="exact"/>
        <w:ind w:left="0" w:leftChars="0" w:right="0" w:firstLine="632" w:firstLineChars="200"/>
        <w:jc w:val="both"/>
        <w:textAlignment w:val="auto"/>
        <w:outlineLvl w:val="9"/>
        <w:rPr>
          <w:rFonts w:hint="eastAsia" w:ascii="方正仿宋_GBK" w:hAnsi="方正仿宋_GBK" w:eastAsia="方正仿宋_GBK" w:cs="方正仿宋_GBK"/>
          <w:color w:val="000000"/>
          <w:sz w:val="32"/>
          <w:lang w:val="en-US" w:eastAsia="zh-CN"/>
        </w:rPr>
      </w:pPr>
      <w:r>
        <w:rPr>
          <w:rFonts w:hint="eastAsia" w:ascii="方正仿宋_GBK" w:hAnsi="方正仿宋_GBK" w:eastAsia="方正仿宋_GBK" w:cs="方正仿宋_GBK"/>
          <w:color w:val="000000"/>
          <w:sz w:val="32"/>
          <w:lang w:val="en-US" w:eastAsia="zh-CN"/>
        </w:rPr>
        <w:t>我单位2020年有公用车辆，统一归政府办后勤管理。</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九、扶贫资金情况说明</w:t>
      </w:r>
    </w:p>
    <w:p>
      <w:pPr>
        <w:pStyle w:val="6"/>
        <w:widowControl/>
        <w:wordWrap/>
        <w:adjustRightInd/>
        <w:snapToGrid/>
        <w:spacing w:before="0" w:beforeAutospacing="0" w:after="0" w:afterAutospacing="0" w:line="556" w:lineRule="exact"/>
        <w:ind w:left="0" w:leftChars="0" w:right="0" w:firstLine="632" w:firstLineChars="200"/>
        <w:jc w:val="both"/>
        <w:textAlignment w:val="auto"/>
        <w:outlineLvl w:val="9"/>
        <w:rPr>
          <w:rFonts w:hint="eastAsia" w:ascii="方正仿宋_GBK" w:hAnsi="方正仿宋_GBK" w:eastAsia="方正仿宋_GBK" w:cs="方正仿宋_GBK"/>
          <w:color w:val="000000"/>
          <w:sz w:val="32"/>
          <w:lang w:val="en-US" w:eastAsia="zh-CN"/>
        </w:rPr>
      </w:pPr>
      <w:r>
        <w:rPr>
          <w:rFonts w:hint="eastAsia" w:ascii="方正仿宋_GBK" w:hAnsi="方正仿宋_GBK" w:eastAsia="方正仿宋_GBK" w:cs="方正仿宋_GBK"/>
          <w:color w:val="000000"/>
          <w:sz w:val="32"/>
          <w:lang w:val="en-US" w:eastAsia="zh-CN"/>
        </w:rPr>
        <w:t>我单位2020年无扶贫资金。</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十、债务情况说明</w:t>
      </w:r>
    </w:p>
    <w:p>
      <w:pPr>
        <w:pStyle w:val="6"/>
        <w:widowControl/>
        <w:wordWrap/>
        <w:adjustRightInd/>
        <w:snapToGrid/>
        <w:spacing w:before="0" w:beforeAutospacing="0" w:after="0" w:afterAutospacing="0" w:line="556" w:lineRule="exact"/>
        <w:ind w:left="0" w:leftChars="0" w:right="0" w:firstLine="632" w:firstLineChars="200"/>
        <w:jc w:val="both"/>
        <w:textAlignment w:val="auto"/>
        <w:outlineLvl w:val="9"/>
        <w:rPr>
          <w:rFonts w:hint="eastAsia" w:ascii="方正仿宋_GBK" w:hAnsi="方正仿宋_GBK" w:eastAsia="方正仿宋_GBK" w:cs="方正仿宋_GBK"/>
          <w:color w:val="000000"/>
          <w:sz w:val="32"/>
          <w:lang w:val="en-US" w:eastAsia="zh-CN"/>
        </w:rPr>
      </w:pPr>
      <w:r>
        <w:rPr>
          <w:rFonts w:hint="eastAsia" w:ascii="方正仿宋_GBK" w:hAnsi="方正仿宋_GBK" w:eastAsia="方正仿宋_GBK" w:cs="方正仿宋_GBK"/>
          <w:color w:val="000000"/>
          <w:sz w:val="32"/>
          <w:lang w:val="en-US" w:eastAsia="zh-CN"/>
        </w:rPr>
        <w:t>我单位2020年无政府债务。</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十一、重点、重大项目信息</w:t>
      </w:r>
    </w:p>
    <w:p>
      <w:pPr>
        <w:spacing w:line="576" w:lineRule="exact"/>
        <w:ind w:firstLine="632" w:firstLineChars="200"/>
        <w:rPr>
          <w:rFonts w:hint="eastAsia" w:ascii="方正仿宋_GBK" w:hAnsi="方正仿宋_GBK" w:eastAsia="方正仿宋_GBK" w:cs="方正仿宋_GBK"/>
          <w:color w:val="000000"/>
          <w:kern w:val="0"/>
          <w:sz w:val="32"/>
          <w:szCs w:val="24"/>
          <w:lang w:val="en-US" w:eastAsia="zh-CN" w:bidi="ar-SA"/>
        </w:rPr>
      </w:pPr>
      <w:r>
        <w:rPr>
          <w:rFonts w:hint="eastAsia" w:ascii="方正仿宋_GBK" w:hAnsi="方正仿宋_GBK" w:eastAsia="方正仿宋_GBK" w:cs="方正仿宋_GBK"/>
          <w:color w:val="000000"/>
          <w:kern w:val="0"/>
          <w:sz w:val="32"/>
          <w:szCs w:val="24"/>
          <w:lang w:val="en-US" w:eastAsia="zh-CN" w:bidi="ar-SA"/>
        </w:rPr>
        <w:t>我单位2020年无重点、重大项目。</w:t>
      </w: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r>
        <w:rPr>
          <w:rFonts w:hint="eastAsia" w:ascii="黑体" w:hAnsi="黑体" w:eastAsia="黑体" w:cs="黑体"/>
          <w:b w:val="0"/>
          <w:bCs w:val="0"/>
          <w:szCs w:val="32"/>
        </w:rPr>
        <w:t>第</w:t>
      </w:r>
      <w:bookmarkStart w:id="0" w:name="_GoBack"/>
      <w:bookmarkEnd w:id="0"/>
      <w:r>
        <w:rPr>
          <w:rFonts w:hint="eastAsia" w:ascii="黑体" w:hAnsi="黑体" w:eastAsia="黑体" w:cs="黑体"/>
          <w:b w:val="0"/>
          <w:bCs w:val="0"/>
          <w:szCs w:val="32"/>
        </w:rPr>
        <w:t>四部分</w:t>
      </w:r>
      <w:r>
        <w:rPr>
          <w:rFonts w:hint="eastAsia" w:ascii="黑体" w:hAnsi="黑体" w:eastAsia="黑体" w:cs="黑体"/>
          <w:b w:val="0"/>
          <w:bCs w:val="0"/>
          <w:szCs w:val="32"/>
          <w:lang w:val="en-US" w:eastAsia="zh-CN"/>
        </w:rPr>
        <w:t xml:space="preserve"> </w:t>
      </w:r>
      <w:r>
        <w:rPr>
          <w:rFonts w:hint="eastAsia" w:ascii="黑体" w:hAnsi="黑体" w:eastAsia="黑体" w:cs="黑体"/>
          <w:b w:val="0"/>
          <w:bCs w:val="0"/>
          <w:szCs w:val="32"/>
        </w:rPr>
        <w:t>名词解释</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一、一般公共预算拨款收入：</w:t>
      </w:r>
      <w:r>
        <w:rPr>
          <w:rFonts w:hint="eastAsia" w:ascii="仿宋" w:hAnsi="仿宋" w:eastAsia="仿宋" w:cs="Arial"/>
          <w:color w:val="000000"/>
          <w:kern w:val="0"/>
          <w:sz w:val="32"/>
          <w:szCs w:val="24"/>
          <w:lang w:val="en-US" w:eastAsia="zh-CN" w:bidi="ar-SA"/>
        </w:rPr>
        <w:t>指财政部门当年拨付的资金。</w:t>
      </w:r>
    </w:p>
    <w:p>
      <w:pPr>
        <w:spacing w:line="576" w:lineRule="exact"/>
        <w:ind w:firstLine="632" w:firstLineChars="200"/>
        <w:rPr>
          <w:rFonts w:hint="eastAsia" w:ascii="仿宋" w:hAnsi="仿宋" w:eastAsia="仿宋" w:cs="Arial"/>
          <w:color w:val="000000"/>
          <w:kern w:val="0"/>
          <w:sz w:val="32"/>
          <w:szCs w:val="24"/>
          <w:lang w:val="en-US" w:eastAsia="zh-CN" w:bidi="ar-SA"/>
        </w:rPr>
      </w:pPr>
      <w:r>
        <w:rPr>
          <w:rFonts w:hint="eastAsia" w:ascii="方正仿宋_GBK" w:hAnsi="方正仿宋_GBK" w:eastAsia="方正仿宋_GBK" w:cs="方正仿宋_GBK"/>
          <w:szCs w:val="32"/>
        </w:rPr>
        <w:t>二、基本支出：</w:t>
      </w:r>
      <w:r>
        <w:rPr>
          <w:rFonts w:hint="eastAsia" w:ascii="仿宋" w:hAnsi="仿宋" w:eastAsia="仿宋" w:cs="Arial"/>
          <w:color w:val="000000"/>
          <w:kern w:val="0"/>
          <w:sz w:val="32"/>
          <w:szCs w:val="24"/>
          <w:lang w:val="en-US" w:eastAsia="zh-CN" w:bidi="ar-SA"/>
        </w:rPr>
        <w:t>是指为保障机构正常运转，完成日常工作任务而发生的人员支出和共用支出。</w:t>
      </w:r>
    </w:p>
    <w:p>
      <w:pPr>
        <w:spacing w:line="576" w:lineRule="exact"/>
        <w:ind w:firstLine="632" w:firstLineChars="200"/>
        <w:rPr>
          <w:rFonts w:hint="eastAsia" w:ascii="仿宋" w:hAnsi="仿宋" w:eastAsia="仿宋" w:cs="Arial"/>
          <w:color w:val="000000"/>
          <w:kern w:val="0"/>
          <w:sz w:val="32"/>
          <w:szCs w:val="24"/>
          <w:lang w:val="en-US" w:eastAsia="zh-CN" w:bidi="ar-SA"/>
        </w:rPr>
      </w:pPr>
      <w:r>
        <w:rPr>
          <w:rFonts w:hint="eastAsia" w:ascii="方正仿宋_GBK" w:hAnsi="方正仿宋_GBK" w:eastAsia="方正仿宋_GBK" w:cs="方正仿宋_GBK"/>
          <w:szCs w:val="32"/>
        </w:rPr>
        <w:t>三、“三公经费”：</w:t>
      </w:r>
      <w:r>
        <w:rPr>
          <w:rFonts w:hint="eastAsia" w:ascii="仿宋" w:hAnsi="仿宋" w:eastAsia="仿宋" w:cs="Arial"/>
          <w:color w:val="000000"/>
          <w:kern w:val="0"/>
          <w:sz w:val="32"/>
          <w:szCs w:val="24"/>
          <w:lang w:val="en-US" w:eastAsia="zh-CN" w:bidi="ar-SA"/>
        </w:rPr>
        <w:t>纳入财政预决算管理的“三公”经费，是指部门用财政拨款安排的因公出国（境）费、公务用车购置及运行费和公务接待费。</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四、机关运行经费：</w:t>
      </w:r>
      <w:r>
        <w:rPr>
          <w:rFonts w:hint="eastAsia" w:ascii="仿宋" w:hAnsi="仿宋" w:eastAsia="仿宋" w:cs="Arial"/>
          <w:color w:val="000000"/>
          <w:kern w:val="0"/>
          <w:sz w:val="32"/>
          <w:szCs w:val="24"/>
          <w:lang w:val="en-US" w:eastAsia="zh-CN" w:bidi="ar-SA"/>
        </w:rPr>
        <w:t>是指各部门的公用经费，包括办公及印刷费、邮电费、差旅费、会议费、福利费、日常维修费、水电费、工会经费、公务接待费、公务用车运行费及其他费用。</w:t>
      </w:r>
    </w:p>
    <w:p>
      <w:pPr>
        <w:spacing w:line="576" w:lineRule="exact"/>
        <w:rPr>
          <w:rFonts w:hint="eastAsia" w:ascii="方正仿宋_GBK" w:hAnsi="方正仿宋_GBK" w:eastAsia="方正仿宋_GBK" w:cs="方正仿宋_GBK"/>
          <w:szCs w:val="32"/>
        </w:rPr>
      </w:pPr>
    </w:p>
    <w:sectPr>
      <w:footerReference r:id="rId3" w:type="default"/>
      <w:footerReference r:id="rId4" w:type="even"/>
      <w:pgSz w:w="11906" w:h="16838"/>
      <w:pgMar w:top="2098" w:right="1474" w:bottom="1985" w:left="1588" w:header="851" w:footer="1418" w:gutter="0"/>
      <w:pgNumType w:fmt="decimal"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Microsoft YaHei UI">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Calibri" w:hAnsi="Calibri" w:eastAsia="仿宋_GB2312" w:cs="黑体"/>
        <w:kern w:val="2"/>
        <w:sz w:val="18"/>
        <w:szCs w:val="18"/>
        <w:lang w:val="en-US" w:eastAsia="zh-CN" w:bidi="ar-SA"/>
      </w:rPr>
      <w:pict>
        <v:rect id="文本框 1"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Calibri" w:hAnsi="Calibri" w:eastAsia="仿宋_GB2312" w:cs="黑体"/>
        <w:kern w:val="2"/>
        <w:sz w:val="18"/>
        <w:szCs w:val="18"/>
        <w:lang w:val="en-US" w:eastAsia="zh-CN" w:bidi="ar-SA"/>
      </w:rPr>
      <w:pict>
        <v:rect id="文本框 2" o:spid="_x0000_s4098" o:spt="1"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displayVerticalDrawingGridEvery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BC70441"/>
    <w:rsid w:val="27AF41A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黑体"/>
      <w:kern w:val="2"/>
      <w:sz w:val="32"/>
      <w:szCs w:val="22"/>
      <w:lang w:val="en-US" w:eastAsia="zh-CN" w:bidi="ar-SA"/>
    </w:rPr>
  </w:style>
  <w:style w:type="paragraph" w:styleId="2">
    <w:name w:val="heading 1"/>
    <w:next w:val="1"/>
    <w:link w:val="9"/>
    <w:qFormat/>
    <w:uiPriority w:val="9"/>
    <w:pPr>
      <w:keepNext/>
      <w:keepLines/>
      <w:pBdr>
        <w:bottom w:val="single" w:color="DBE5F1" w:sz="8" w:space="0"/>
      </w:pBdr>
      <w:spacing w:after="200" w:line="300" w:lineRule="auto"/>
      <w:outlineLvl w:val="0"/>
    </w:pPr>
    <w:rPr>
      <w:rFonts w:ascii="Cambria" w:hAnsi="Cambria" w:eastAsia="Microsoft YaHei UI" w:cs="黑体"/>
      <w:color w:val="4F81BD"/>
      <w:sz w:val="36"/>
      <w:szCs w:val="36"/>
      <w:lang w:val="en-US" w:eastAsia="ja-JP" w:bidi="ar-SA"/>
    </w:rPr>
  </w:style>
  <w:style w:type="paragraph" w:styleId="3">
    <w:name w:val="heading 2"/>
    <w:next w:val="1"/>
    <w:link w:val="10"/>
    <w:unhideWhenUsed/>
    <w:qFormat/>
    <w:uiPriority w:val="9"/>
    <w:pPr>
      <w:keepNext/>
      <w:keepLines/>
      <w:spacing w:before="120" w:after="120"/>
      <w:outlineLvl w:val="1"/>
    </w:pPr>
    <w:rPr>
      <w:rFonts w:ascii="Calibri" w:hAnsi="Calibri" w:eastAsia="Microsoft YaHei UI" w:cs="黑体"/>
      <w:b/>
      <w:bCs/>
      <w:color w:val="1F497D"/>
      <w:sz w:val="26"/>
      <w:szCs w:val="26"/>
      <w:lang w:val="en-US" w:eastAsia="ja-JP"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标题 1 Char"/>
    <w:basedOn w:val="8"/>
    <w:link w:val="2"/>
    <w:uiPriority w:val="9"/>
    <w:rPr>
      <w:rFonts w:ascii="Cambria" w:hAnsi="Cambria" w:eastAsia="Microsoft YaHei UI" w:cs="黑体"/>
      <w:color w:val="4F81BD"/>
      <w:kern w:val="0"/>
      <w:sz w:val="36"/>
      <w:szCs w:val="36"/>
      <w:lang w:eastAsia="ja-JP"/>
    </w:rPr>
  </w:style>
  <w:style w:type="character" w:customStyle="1" w:styleId="10">
    <w:name w:val="标题 2 Char"/>
    <w:basedOn w:val="8"/>
    <w:link w:val="3"/>
    <w:uiPriority w:val="9"/>
    <w:rPr>
      <w:rFonts w:eastAsia="Microsoft YaHei UI"/>
      <w:b/>
      <w:bCs/>
      <w:color w:val="1F497D"/>
      <w:kern w:val="0"/>
      <w:sz w:val="26"/>
      <w:szCs w:val="26"/>
      <w:lang w:eastAsia="ja-JP"/>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715</Words>
  <Characters>4082</Characters>
  <Lines>34</Lines>
  <Paragraphs>9</Paragraphs>
  <TotalTime>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2020-08-14T09:05:00Z</dcterms:created>
  <dc:creator>ds</dc:creator>
  <cp:lastModifiedBy>bq</cp:lastModifiedBy>
  <dcterms:modified xsi:type="dcterms:W3CDTF">2021-12-24T02:56:28Z</dcterms:modified>
  <dc:title>巴青县纪委监委2020年度部门决算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B36C5C413B5B430EB5CB2A0CCE2C8593</vt:lpwstr>
  </property>
</Properties>
</file>