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审计局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审计局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审计局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审计局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审计局</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审计局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lang w:eastAsia="zh-CN"/>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主管全县审计工作；负责对全县财政收支和法律法规规定属于审计监督范围的财务收支的真实、合法和效益进行审计监督，对领导干部实行自然资源资产离任审计，对国家、自治区和市有关重大政策措施贯彻落实情况进行跟踪审计；对审计、专项审计调查和核查社会审计机构相关审计报告的结果承担责任，并督促被审计单位整改审计查出的问题。</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县</w:t>
      </w:r>
      <w:r>
        <w:rPr>
          <w:rFonts w:hint="eastAsia" w:ascii="方正仿宋_GBK" w:hAnsi="方正仿宋_GBK" w:eastAsia="方正仿宋_GBK" w:cs="方正仿宋_GBK"/>
          <w:szCs w:val="32"/>
          <w:lang w:eastAsia="zh-CN"/>
        </w:rPr>
        <w:t>审计局</w:t>
      </w:r>
      <w:r>
        <w:rPr>
          <w:rFonts w:hint="eastAsia" w:ascii="方正仿宋_GBK" w:hAnsi="方正仿宋_GBK" w:eastAsia="方正仿宋_GBK" w:cs="方正仿宋_GBK"/>
          <w:szCs w:val="32"/>
        </w:rPr>
        <w:t>机关行政编制3名，部门领导职数3名（正科级1名、副科级2名）</w:t>
      </w:r>
      <w:r>
        <w:rPr>
          <w:rFonts w:hint="eastAsia" w:ascii="方正仿宋_GBK" w:hAnsi="方正仿宋_GBK" w:eastAsia="方正仿宋_GBK" w:cs="方正仿宋_GBK"/>
          <w:szCs w:val="32"/>
          <w:lang w:eastAsia="zh-CN"/>
        </w:rPr>
        <w:t>。</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在职实有人数7个，其中：局长1名，副局长2名，普通干部4名。</w:t>
      </w:r>
    </w:p>
    <w:p>
      <w:pPr>
        <w:spacing w:line="576" w:lineRule="exact"/>
        <w:ind w:firstLine="632" w:firstLineChars="200"/>
        <w:rPr>
          <w:rFonts w:hint="eastAsia" w:ascii="方正仿宋_GBK" w:hAnsi="方正仿宋_GBK" w:eastAsia="方正仿宋_GBK" w:cs="方正仿宋_GBK"/>
          <w:szCs w:val="32"/>
        </w:rPr>
      </w:pPr>
    </w:p>
    <w:p>
      <w:pPr>
        <w:spacing w:line="576" w:lineRule="exact"/>
        <w:ind w:firstLine="632" w:firstLineChars="200"/>
        <w:rPr>
          <w:rFonts w:hint="eastAsia" w:ascii="方正仿宋_GBK" w:hAnsi="方正仿宋_GBK" w:eastAsia="方正仿宋_GBK" w:cs="方正仿宋_GBK"/>
          <w:szCs w:val="32"/>
        </w:rPr>
      </w:pPr>
    </w:p>
    <w:p>
      <w:pPr>
        <w:spacing w:line="576" w:lineRule="exact"/>
        <w:ind w:firstLine="632" w:firstLineChars="200"/>
        <w:rPr>
          <w:rFonts w:hint="eastAsia" w:ascii="方正仿宋_GBK" w:hAnsi="方正仿宋_GBK" w:eastAsia="方正仿宋_GBK" w:cs="方正仿宋_GBK"/>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审计局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1264" w:firstLineChars="4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1264" w:firstLineChars="400"/>
        <w:rPr>
          <w:rFonts w:hint="eastAsia" w:ascii="方正楷体简体" w:hAnsi="方正楷体简体" w:eastAsia="方正楷体简体" w:cs="方正楷体简体"/>
          <w:szCs w:val="32"/>
        </w:rPr>
      </w:pPr>
      <w:bookmarkStart w:id="0" w:name="_GoBack"/>
      <w:bookmarkEnd w:id="0"/>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审计局</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34.28</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134.33</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151.78</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16.83万元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134.33</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134.33</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151.78</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131.78</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20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34.28</w:t>
      </w:r>
      <w:r>
        <w:rPr>
          <w:rFonts w:hint="eastAsia" w:ascii="方正仿宋_GBK" w:hAnsi="方正仿宋_GBK" w:eastAsia="方正仿宋_GBK" w:cs="方正仿宋_GBK"/>
          <w:szCs w:val="32"/>
        </w:rPr>
        <w:t>万元，本年财政拨款收入</w:t>
      </w:r>
      <w:r>
        <w:rPr>
          <w:rFonts w:hint="eastAsia" w:ascii="方正仿宋_GBK" w:hAnsi="方正仿宋_GBK" w:eastAsia="方正仿宋_GBK" w:cs="方正仿宋_GBK"/>
          <w:szCs w:val="32"/>
          <w:lang w:val="en-US" w:eastAsia="zh-CN"/>
        </w:rPr>
        <w:t>134.33</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134.33</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168.11</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151.78</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151.78</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16.83</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168.11</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127.43</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127.43</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4.35</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4.35</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公务用车0辆，固定资产11.11万元。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仿宋" w:hAnsi="仿宋" w:eastAsia="仿宋" w:cs="仿宋"/>
          <w:szCs w:val="32"/>
        </w:rPr>
      </w:pPr>
      <w:r>
        <w:rPr>
          <w:rFonts w:hint="eastAsia" w:ascii="方正仿宋_GBK" w:hAnsi="方正仿宋_GBK" w:eastAsia="方正仿宋_GBK" w:cs="方正仿宋_GBK"/>
          <w:szCs w:val="32"/>
          <w:lang w:val="en-US" w:eastAsia="zh-CN"/>
        </w:rPr>
        <w:t>我单位2020年无重点、重大项目</w:t>
      </w:r>
      <w:r>
        <w:rPr>
          <w:rFonts w:hint="eastAsia" w:ascii="仿宋" w:hAnsi="仿宋" w:eastAsia="仿宋" w:cs="仿宋"/>
          <w:szCs w:val="32"/>
        </w:rPr>
        <w:t>。</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一、一般公共预算拨款收入：指财政部门当年拨付的资金。</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二、基本支出：是指为保障机构正常运转，完成日常工作任务而发生的人员支出和共用支出。</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0FA51DB9"/>
    <w:rsid w:val="1068493C"/>
    <w:rsid w:val="1D606D4C"/>
    <w:rsid w:val="20222F4B"/>
    <w:rsid w:val="232D4C74"/>
    <w:rsid w:val="29A97F26"/>
    <w:rsid w:val="337D2F63"/>
    <w:rsid w:val="3427739E"/>
    <w:rsid w:val="37DA45ED"/>
    <w:rsid w:val="43BD3D2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16</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2021-12-24T03:13:07Z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