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eastAsia="zh-CN"/>
        </w:rPr>
        <w:t>应急管理局</w:t>
      </w:r>
      <w:r>
        <w:rPr>
          <w:rFonts w:hint="eastAsia" w:ascii="方正小标宋_GBK" w:hAnsi="方正小标宋_GBK" w:eastAsia="方正小标宋_GBK" w:cs="方正小标宋_GBK"/>
          <w:sz w:val="44"/>
          <w:szCs w:val="44"/>
        </w:rPr>
        <w:t>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eastAsia="zh-CN"/>
        </w:rPr>
        <w:t>应急管理局</w:t>
      </w:r>
      <w:r>
        <w:rPr>
          <w:rFonts w:hint="eastAsia" w:ascii="黑体" w:hAnsi="黑体" w:eastAsia="黑体" w:cs="黑体"/>
          <w:b w:val="0"/>
          <w:bCs/>
          <w:szCs w:val="32"/>
        </w:rPr>
        <w:t>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eastAsia="zh-CN"/>
        </w:rPr>
        <w:t>应急管理局</w:t>
      </w:r>
      <w:r>
        <w:rPr>
          <w:rFonts w:hint="eastAsia" w:ascii="黑体" w:hAnsi="黑体" w:eastAsia="黑体" w:cs="黑体"/>
          <w:b w:val="0"/>
          <w:bCs/>
          <w:szCs w:val="32"/>
        </w:rPr>
        <w:t>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eastAsia="zh-CN"/>
        </w:rPr>
        <w:t>应急管理局</w:t>
      </w:r>
      <w:r>
        <w:rPr>
          <w:rFonts w:hint="eastAsia" w:ascii="黑体" w:hAnsi="黑体" w:eastAsia="黑体" w:cs="黑体"/>
          <w:b w:val="0"/>
          <w:bCs/>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第四部分  名词解释</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eastAsia="zh-CN"/>
        </w:rPr>
        <w:t>应急管理局</w:t>
      </w:r>
      <w:r>
        <w:rPr>
          <w:rFonts w:hint="eastAsia" w:ascii="黑体" w:hAnsi="黑体" w:eastAsia="黑体" w:cs="黑体"/>
          <w:b w:val="0"/>
          <w:bCs w:val="0"/>
          <w:szCs w:val="32"/>
        </w:rPr>
        <w:t>概况</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w:t>
      </w:r>
      <w:r>
        <w:rPr>
          <w:rFonts w:hint="eastAsia" w:ascii="方正仿宋_GBK" w:hAnsi="方正仿宋_GBK" w:eastAsia="方正仿宋_GBK" w:cs="方正仿宋_GBK"/>
          <w:szCs w:val="32"/>
          <w:lang w:eastAsia="zh-CN"/>
        </w:rPr>
        <w:t>应急管理局</w:t>
      </w:r>
      <w:r>
        <w:rPr>
          <w:rFonts w:hint="eastAsia" w:ascii="方正仿宋_GBK" w:hAnsi="方正仿宋_GBK" w:eastAsia="方正仿宋_GBK" w:cs="方正仿宋_GBK"/>
          <w:szCs w:val="32"/>
        </w:rPr>
        <w:t>纳入本部门预算汇编范围的独立核算单位共1个。</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rPr>
        <w:t>部门职责和机构设置</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（一）部门职责</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主要职能：负责应急管理工作，指导各乡（镇）、各部门应对安全生产类、自然灾害类等突发事件和综合防灾减灾救灾工作。负责安全生产综合监督管理和工矿商贸行业安全生产监督管理工作；拟订应急管理、安全生产政策，组织编制全县应急体系建设、安全生产和综合防灾减灾规划，参与起草相关地方性法规和政府规章草案，组织制定有关规程和标准并监督实施。</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（一）负责应急管理工作，指导各乡（镇）、各部门应对安全生产类、自然灾害类等突发事件和综合防灾减灾救灾工作。负责安全生产综合监督管理和工矿商贸行业安全生产监督管理工作。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（二）拟订应急管理、安全生产政策，组织编制全县应急体系建设、安全生产和综合防灾减灾规划，参与起草相关地方性法规和政府规章草案，组织制定有关规程和标准并监督实施。</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指导应急预案体系建设，执行事故灾难和自然灾害分级应对制度，组织编制全县总体应急预案和安全生产类、自然灾害类专项预案，综合协调应急预案衔接工作，组织开展预案演练，推动应急避难设施建设。</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（四）牵头建立统一的应急管理信息系统，负责信息传输渠道的规划和布局，建立监测预警和灾情报告制度，健全自然灾害信息资源获取和共享机制，依法统一发布灾情。</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五）组织指导协调安全生产类、自然灾害类等突发事件应急救援，承担全县应对重大灾害指挥部工作，综合研判突发事件发展态势并提出应对建议，协助县委、县政府指定的负责同志组织重大灾害应急处置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（六）统一协调指挥各类应急专业队伍，建立应急协调联动机制，推进指挥平台对接，衔接解放军和武警部队参与应急救援工作。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（七）统筹应急救援力量建设，负责消防、森林和草原火灾扑救、抗洪抢险、地震和地质灾害救援、生产安全事故救援等专业应急救援力量建设，管理综合性应急救援队伍，指导乡（镇）社会应急救援力量建设。</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（八）负责消防工作，指导乡（镇）消防监督、火灾预防、火灾扑救等工作。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（九）指导协调森林和草原火灾、水旱灾害、地震和地质灾害等防治工作，负责自然灾害综合监测预警工作，指导开展自然灾害综合风险评估工作。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（十）组织协调灾害救助工作，组织指导开展灾情核查、损失评估、救灾捐赠工作，管理、分配救灾款物并监督使用。</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（十一）依法行使全县安全生产综合监督管理职权，指导协调、监督检查各乡（镇）各部门安全生产工作，组织开展安全生产巡查、考核工作。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二）按照分级、属地原则，依法监督检查工矿商贸生产经营单位贯彻执行安全生产法律法规情况及其安全生产条件和有关设备（特种设备除外）、材料、劳动防护用品的安全生产管理工作。负责监督管理工矿商贸行业企业安全生产工作。依法组织并指导监督实施安全生产准入制度。负责危险化学品安全监督管理综合工作和烟花爆竹安全生产监督管理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（十三）依法组织指导生产安全事故调查处理，监督事故查处和责任追究落实情况。组织开展自然灾害类突发事件的调查评估工作。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（十四）根据上级要求，开展应急管理方面的对外交流与合作，组织参与安全生产类、自然灾害类等突发事件的区内外救援工作。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（十五）制定应急物资储备和应急救援装备规划并组织实施，会同县发展和改革委员会（县粮食和物资储备局）等部门建立健全应急物资信息平台和调拨制度，在救灾时统一调度。</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（十六）负责应急管理、安全生产宣传教育和培训工作，组织指导应急管理、安全生产的科学技术研究、推广应用和信息化建设工作。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（十七）完成县委、县政府交办的其他任务。</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八）职能转变。县应急管理局应加强、优化、统筹县应急能力建设，构建统一领导、权责一致、权威高效的县应急能力体系，推动形成统一指挥、专常兼备、反应灵敏、上下联动、平战结合的西藏特色、巴青特点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安全放在首位，确保受灾群众基本生活，加强应急预案演练，增强全民防灾减灾意识，普及公众知识，提升自救互救技能，切实减少人员伤亡和财产损失。三是树立安全发展理念，坚持生命至上、安全第一，完善安全生产责任制，坚决遏制重特大安全事故。</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（二）机构设置</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应急管理局机关行政编制3名，领导职数3名（正科级1名，副科级2名）。县应急管理局所属事业单位的设置、职责和编制事项另行规定。</w:t>
      </w:r>
    </w:p>
    <w:p>
      <w:pPr>
        <w:spacing w:line="576" w:lineRule="exact"/>
        <w:jc w:val="center"/>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eastAsia="zh-CN"/>
        </w:rPr>
        <w:t>应急管理局</w:t>
      </w:r>
      <w:r>
        <w:rPr>
          <w:rFonts w:hint="eastAsia" w:ascii="黑体" w:hAnsi="黑体" w:eastAsia="黑体" w:cs="黑体"/>
          <w:b w:val="0"/>
          <w:bCs w:val="0"/>
          <w:szCs w:val="32"/>
        </w:rPr>
        <w:t>2020年度部门决算表</w:t>
      </w: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第三部分  巴青县</w:t>
      </w:r>
      <w:r>
        <w:rPr>
          <w:rFonts w:hint="eastAsia" w:ascii="黑体" w:hAnsi="黑体" w:eastAsia="黑体" w:cs="黑体"/>
          <w:b w:val="0"/>
          <w:bCs w:val="0"/>
          <w:szCs w:val="32"/>
          <w:lang w:eastAsia="zh-CN"/>
        </w:rPr>
        <w:t>应急管理局</w:t>
      </w:r>
      <w:r>
        <w:rPr>
          <w:rFonts w:hint="eastAsia" w:ascii="黑体" w:hAnsi="黑体" w:eastAsia="黑体" w:cs="黑体"/>
          <w:b w:val="0"/>
          <w:bCs w:val="0"/>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我单位2020年年初结转结余资金32.58</w:t>
      </w:r>
      <w:r>
        <w:rPr>
          <w:rFonts w:hint="eastAsia" w:ascii="方正仿宋_GBK" w:hAnsi="方正仿宋_GBK" w:eastAsia="方正仿宋_GBK" w:cs="方正仿宋_GBK"/>
          <w:szCs w:val="32"/>
          <w:lang w:val="en-US" w:eastAsia="zh-CN"/>
        </w:rPr>
        <w:t>万元</w:t>
      </w:r>
      <w:r>
        <w:rPr>
          <w:rFonts w:hint="eastAsia" w:ascii="方正仿宋_GBK" w:hAnsi="方正仿宋_GBK" w:eastAsia="方正仿宋_GBK" w:cs="方正仿宋_GBK"/>
          <w:szCs w:val="32"/>
        </w:rPr>
        <w:t>，一般公共预算财政拨款收入568.12万元，本年支出合计600.7万元，年末财政拨款结转和结余资金144.13</w:t>
      </w:r>
      <w:r>
        <w:rPr>
          <w:rFonts w:hint="eastAsia" w:ascii="方正仿宋_GBK" w:hAnsi="方正仿宋_GBK" w:eastAsia="方正仿宋_GBK" w:cs="方正仿宋_GBK"/>
          <w:szCs w:val="32"/>
          <w:lang w:val="en-US" w:eastAsia="zh-CN"/>
        </w:rPr>
        <w:t>万元</w:t>
      </w:r>
      <w:r>
        <w:rPr>
          <w:rFonts w:hint="eastAsia" w:ascii="方正仿宋_GBK" w:hAnsi="方正仿宋_GBK" w:eastAsia="方正仿宋_GBK" w:cs="方正仿宋_GBK"/>
          <w:szCs w:val="32"/>
        </w:rPr>
        <w:t>。</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我单位2020年收入合计600.7万元。其中，财政拨款收入568.12万元，上级补助收入0万元，事业收入0万元，经营收入0万元，附属单位上缴收入0万元，其他收入0万元。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我单位2020年支出合计456.57万元。其中，基本支出145.69万元，项目支出310.88万元，上缴上级支出0万元，经营支出0万元，对附属单位补助支出0万元。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财政拨款结转和结余32.58万元，本年财政拨款收入568.12万元。其中，一般公共预算财政拨款收入568.12万元，政府性基金预算财政拨款收入0万元，国有资本经营财政拨款收入0万元。本年财政拨款收入合计600.7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财政拨款支出600.7万元。其中，一般公共预算财政拨款支出456.57万元，政府性基金预算财政拨款支出0万元，国有资本经营财政拨款支出0万元。本年年末财政拨款结转和结余144.13万元。本年财政拨款支出合计600.7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我单位2020年一般公共预算财政拨款“三公”经费支出0万元 。</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我单位2020年人员经费支出142.12万元。其中，工资福利支出142.12万元，对个人和家庭的补助0万元。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我单位2020年公用经费支出3.56万元。其中，商品和服务支出3.56万元，债务利息及费用支出0万元，资本性支出</w:t>
      </w:r>
      <w:r>
        <w:rPr>
          <w:rFonts w:hint="eastAsia" w:ascii="方正仿宋_GBK" w:hAnsi="方正仿宋_GBK" w:eastAsia="方正仿宋_GBK" w:cs="方正仿宋_GBK"/>
          <w:szCs w:val="32"/>
          <w:lang w:val="en-US" w:eastAsia="zh-CN"/>
        </w:rPr>
        <w:t>0</w:t>
      </w:r>
      <w:bookmarkStart w:id="0" w:name="_GoBack"/>
      <w:bookmarkEnd w:id="0"/>
      <w:r>
        <w:rPr>
          <w:rFonts w:hint="eastAsia" w:ascii="方正仿宋_GBK" w:hAnsi="方正仿宋_GBK" w:eastAsia="方正仿宋_GBK" w:cs="方正仿宋_GBK"/>
          <w:szCs w:val="32"/>
        </w:rPr>
        <w:t>万元，其他支出0万元。</w:t>
      </w:r>
    </w:p>
    <w:p>
      <w:pPr>
        <w:spacing w:line="576" w:lineRule="exact"/>
        <w:ind w:firstLine="632" w:firstLineChars="200"/>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我单位2020年无政府采购项目。</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我单位2020年</w:t>
      </w:r>
      <w:r>
        <w:rPr>
          <w:rFonts w:hint="eastAsia" w:ascii="方正仿宋_GBK" w:hAnsi="方正仿宋_GBK" w:eastAsia="方正仿宋_GBK" w:cs="方正仿宋_GBK"/>
          <w:szCs w:val="32"/>
          <w:lang w:val="en-US" w:eastAsia="zh-CN"/>
        </w:rPr>
        <w:t>有</w:t>
      </w:r>
      <w:r>
        <w:rPr>
          <w:rFonts w:hint="eastAsia" w:ascii="方正仿宋_GBK" w:hAnsi="方正仿宋_GBK" w:eastAsia="方正仿宋_GBK" w:cs="方正仿宋_GBK"/>
          <w:szCs w:val="32"/>
        </w:rPr>
        <w:t>公用车辆</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统一归政府办后勤管理。</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我单位2020年无扶贫资金。</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我单位2020年无政府债务。</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我单位2020年无重点、重大项目。</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b/>
          <w:bCs/>
          <w:szCs w:val="32"/>
        </w:rPr>
      </w:pPr>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r>
        <w:rPr>
          <w:rFonts w:hint="eastAsia" w:ascii="方正仿宋_GBK" w:hAnsi="方正仿宋_GBK" w:eastAsia="方正仿宋_GBK" w:cs="方正仿宋_GBK"/>
          <w:b/>
          <w:bCs/>
          <w:szCs w:val="32"/>
        </w:rPr>
        <w:t>名词解释</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三、“三公经费”：纳入财政预决算管理的“三公”经费，是指部门用财政拨款安排的因公出国（境）费、公务用车购置及运行费和公务接待费。</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pPr>
        <w:spacing w:line="576" w:lineRule="exact"/>
        <w:rPr>
          <w:rFonts w:hint="eastAsia"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C2023B8"/>
    <w:rsid w:val="0CD66F75"/>
    <w:rsid w:val="0CFB0E04"/>
    <w:rsid w:val="0E427E43"/>
    <w:rsid w:val="104F7BF5"/>
    <w:rsid w:val="1D606D4C"/>
    <w:rsid w:val="232D4C74"/>
    <w:rsid w:val="25C13806"/>
    <w:rsid w:val="29A97F26"/>
    <w:rsid w:val="38CD0256"/>
    <w:rsid w:val="43BD3D2A"/>
    <w:rsid w:val="65BD4A8A"/>
    <w:rsid w:val="67E0314A"/>
    <w:rsid w:val="6E9309F8"/>
    <w:rsid w:val="70AC28EB"/>
    <w:rsid w:val="744501A4"/>
    <w:rsid w:val="7991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1</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2021-12-23T15:37:27Z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