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巴青县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杂色镇人民政府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2020年度部门决算</w:t>
      </w:r>
    </w:p>
    <w:p>
      <w:pPr>
        <w:spacing w:line="576" w:lineRule="exact"/>
        <w:jc w:val="center"/>
        <w:rPr>
          <w:rFonts w:hint="eastAsia" w:ascii="方正仿宋简体" w:hAnsi="黑体" w:eastAsia="方正仿宋简体"/>
          <w:b/>
          <w:szCs w:val="32"/>
        </w:rPr>
      </w:pPr>
      <w:r>
        <w:rPr>
          <w:rFonts w:hint="eastAsia" w:ascii="方正仿宋_GBK" w:hAnsi="方正仿宋_GBK" w:eastAsia="方正仿宋_GBK" w:cs="方正仿宋_GBK"/>
          <w:b/>
          <w:szCs w:val="32"/>
        </w:rPr>
        <w:t>目  录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第一部分  巴青县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杂色镇人民政府</w:t>
      </w:r>
      <w:r>
        <w:rPr>
          <w:rFonts w:hint="eastAsia" w:ascii="黑体" w:hAnsi="黑体" w:eastAsia="黑体" w:cs="黑体"/>
          <w:b w:val="0"/>
          <w:bCs/>
          <w:szCs w:val="32"/>
        </w:rPr>
        <w:t>概况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b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一、部门决算单位构成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b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二、部门职责和机构设置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第二部分  巴青县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杂色镇人民政府</w:t>
      </w:r>
      <w:r>
        <w:rPr>
          <w:rFonts w:hint="eastAsia" w:ascii="黑体" w:hAnsi="黑体" w:eastAsia="黑体" w:cs="黑体"/>
          <w:b w:val="0"/>
          <w:bCs/>
          <w:szCs w:val="32"/>
        </w:rPr>
        <w:t>2020年度部门决算表（见附表1）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六、一般公共预算财政拨款基本支出决算表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七、一般公共预算财政拨款“三公”经费支出决算表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八、政府性基金预算财政拨款收入支出决算表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第三部分  巴青县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杂色镇人民政府</w:t>
      </w:r>
      <w:r>
        <w:rPr>
          <w:rFonts w:hint="eastAsia" w:ascii="黑体" w:hAnsi="黑体" w:eastAsia="黑体" w:cs="黑体"/>
          <w:b w:val="0"/>
          <w:bCs/>
          <w:szCs w:val="32"/>
        </w:rPr>
        <w:t>2020年度部门决算数据说明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六、2020年度机关运行情况说明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七、政府采购情况说明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九、扶贫资金情况说明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十、债务情况说明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十一</w:t>
      </w: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Cs w:val="32"/>
        </w:rPr>
        <w:t>重点、重大项目信息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第四部分  名词解释</w:t>
      </w:r>
    </w:p>
    <w:p>
      <w:pPr>
        <w:spacing w:line="576" w:lineRule="exact"/>
        <w:jc w:val="both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  <w:sectPr>
          <w:pgSz w:w="11906" w:h="16838"/>
          <w:pgMar w:top="2098" w:right="1474" w:bottom="1985" w:left="1588" w:header="851" w:footer="1418" w:gutter="0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第一部分 巴青县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杂色镇人民政府</w:t>
      </w:r>
      <w:r>
        <w:rPr>
          <w:rFonts w:hint="eastAsia" w:ascii="黑体" w:hAnsi="黑体" w:eastAsia="黑体" w:cs="黑体"/>
          <w:b w:val="0"/>
          <w:bCs w:val="0"/>
          <w:szCs w:val="32"/>
        </w:rPr>
        <w:t>概况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一、部门决算单位构成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巴青县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杂色镇人民政府</w:t>
      </w:r>
      <w:r>
        <w:rPr>
          <w:rFonts w:hint="eastAsia" w:ascii="方正仿宋_GBK" w:hAnsi="方正仿宋_GBK" w:eastAsia="方正仿宋_GBK" w:cs="方正仿宋_GBK"/>
          <w:szCs w:val="32"/>
        </w:rPr>
        <w:t>纳入本部门预算汇编范围的独立核算单位共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</w:rPr>
        <w:t>个。</w:t>
      </w:r>
    </w:p>
    <w:p>
      <w:pPr>
        <w:spacing w:beforeLines="0" w:afterLines="0"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二、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巴青县杂色镇人民政府只能配置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第一条  </w:t>
      </w:r>
      <w:r>
        <w:rPr>
          <w:rFonts w:hint="eastAsia" w:ascii="方正仿宋_GBK" w:hAnsi="方正仿宋_GBK" w:eastAsia="方正仿宋_GBK" w:cs="方正仿宋_GBK"/>
          <w:sz w:val="32"/>
        </w:rPr>
        <w:t>根据党中央、自治区党委和市委关于深化地方党政机构改革的工作要求，按照《关于那曲市机构改革的实施意见》和《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巴青县</w:t>
      </w:r>
      <w:r>
        <w:rPr>
          <w:rFonts w:hint="eastAsia" w:ascii="方正仿宋_GBK" w:hAnsi="方正仿宋_GBK" w:eastAsia="方正仿宋_GBK" w:cs="方正仿宋_GBK"/>
          <w:sz w:val="32"/>
        </w:rPr>
        <w:t>机构改革方案》，制定本规定。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第二条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是协助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政府领导同志处理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政府日常工作的机构。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第三条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贯彻落实党中央、国务院方针政策和自治区党委、政府以及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委、市政府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决策部署，在履行职责过程中坚持和加强县委、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工作的统一领导。主要职责是：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（一）负责处理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日常政务和事务。负责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会议和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领导同志重要活动的组织安排，协助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领导同志组织实施会议决定事项。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各项日常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工作，指导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各村（居）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各部门值班工作，及时报告重要情况，传达和督促落实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）负责推进指导、协调监督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党政信息公开和机关效能建设工作。负责信息公开和党务政务公开工作，编辑政府公报。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）牵头推进法治政府建设、依法行政和“放管服”工作。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）负责上级工作组、来宾的接待服务保障工作。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公务用车，党政机关后勤事务管理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贡日寺管理委员会、杂色镇卫生院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外事工作，牵头负责相关协调和服务工作。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）完成县委、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领导同志交办的其他任务。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条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所属事业单位的设置、职责和编制另行规定。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  本规定由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负责解释，具体解释工作由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机构编制委员会办公室承担，其调整由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机构编制委员会办公室按规定程序办理。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  本规定自2019年3月28日起施行。</w:t>
      </w:r>
    </w:p>
    <w:p>
      <w:pPr>
        <w:numPr>
          <w:ilvl w:val="0"/>
          <w:numId w:val="0"/>
        </w:numPr>
        <w:spacing w:line="576" w:lineRule="exact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（二）机构设置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及人员编制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巴青县杂色镇人民政府</w:t>
      </w:r>
      <w:r>
        <w:rPr>
          <w:rFonts w:hint="eastAsia" w:ascii="方正仿宋_GBK" w:hAnsi="方正仿宋_GBK" w:eastAsia="方正仿宋_GBK" w:cs="方正仿宋_GBK"/>
          <w:szCs w:val="32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Cs w:val="32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Cs w:val="32"/>
        </w:rPr>
        <w:t>名（正科级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Cs w:val="32"/>
        </w:rPr>
        <w:t>名、副科级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Cs w:val="32"/>
        </w:rPr>
        <w:t>名）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。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在职实有人数67个，其中：书记1名，乡长1名，寺管会主任1名，人大主席1名，副科级干部12名，普通干部51名；下设党委办、政府办、扶贫办、人大办、文化综合服务中心，农牧综合服务中心，财政所、综治办、政务便民服务大厅、农牧办、属地办、医管办、纪委（监委）办、民政办、人武办、住建办、水利办、气象办、防抗灾办、工会、团委、妇联、组织、强基办、宣传办、国土办、环保办、编译、发改、商务、市场监督管理、卫建委、药监、农行、税务、电信、移动、政协办、经信、城市管理和综合执法、保密、机要、档案馆、统战部、民委、宗教事务、信访、政法、司法、检察院、法院、国安办、消防、应急管理、国电、统计、林业、防控、人社、审计、邮政、涉农保险、整改办、后勤服务中心、项管办等65个科室。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第二部分 巴青县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杂色镇人民政府</w:t>
      </w:r>
      <w:r>
        <w:rPr>
          <w:rFonts w:hint="eastAsia" w:ascii="黑体" w:hAnsi="黑体" w:eastAsia="黑体" w:cs="黑体"/>
          <w:b w:val="0"/>
          <w:bCs w:val="0"/>
          <w:szCs w:val="32"/>
        </w:rPr>
        <w:t>2020年度部门决算表</w:t>
      </w: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（见附表1）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六、一般公共预算财政拨款基本支出决算表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七、一般公共预算财政拨款“三公”经费支出决算表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八、政府性基金预算财政拨款收入支出决算表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第三部分  巴青县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杂色镇人民政府</w:t>
      </w:r>
      <w:r>
        <w:rPr>
          <w:rFonts w:hint="eastAsia" w:ascii="黑体" w:hAnsi="黑体" w:eastAsia="黑体" w:cs="黑体"/>
          <w:b w:val="0"/>
          <w:bCs w:val="0"/>
          <w:szCs w:val="32"/>
        </w:rPr>
        <w:t>2020年度部门决算数据说明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我单位2020年年初结转结余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356万元</w:t>
      </w:r>
      <w:r>
        <w:rPr>
          <w:rFonts w:hint="eastAsia" w:ascii="方正仿宋_GBK" w:hAnsi="方正仿宋_GBK" w:eastAsia="方正仿宋_GBK" w:cs="方正仿宋_GBK"/>
          <w:szCs w:val="32"/>
        </w:rPr>
        <w:t>资金，一般公共预算财政拨款收入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1282.46</w:t>
      </w:r>
      <w:r>
        <w:rPr>
          <w:rFonts w:hint="eastAsia" w:ascii="方正仿宋_GBK" w:hAnsi="方正仿宋_GBK" w:eastAsia="方正仿宋_GBK" w:cs="方正仿宋_GBK"/>
          <w:szCs w:val="32"/>
        </w:rPr>
        <w:t>万元，本年支出合计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2822.5</w:t>
      </w:r>
      <w:r>
        <w:rPr>
          <w:rFonts w:hint="eastAsia" w:ascii="方正仿宋_GBK" w:hAnsi="方正仿宋_GBK" w:eastAsia="方正仿宋_GBK" w:cs="方正仿宋_GBK"/>
          <w:szCs w:val="32"/>
        </w:rPr>
        <w:t>万元，年末财政拨款结转和结余资金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945.76万元</w:t>
      </w:r>
      <w:r>
        <w:rPr>
          <w:rFonts w:hint="eastAsia" w:ascii="方正仿宋_GBK" w:hAnsi="方正仿宋_GBK" w:eastAsia="方正仿宋_GBK" w:cs="方正仿宋_GBK"/>
          <w:szCs w:val="32"/>
        </w:rPr>
        <w:t>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我单位2020年收入合计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3412.26</w:t>
      </w:r>
      <w:r>
        <w:rPr>
          <w:rFonts w:hint="eastAsia" w:ascii="方正仿宋_GBK" w:hAnsi="方正仿宋_GBK" w:eastAsia="方正仿宋_GBK" w:cs="方正仿宋_GBK"/>
          <w:szCs w:val="32"/>
        </w:rPr>
        <w:t>万元。其中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一般公共服务1282.46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科学技术31.2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文化旅游体育与传媒86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社会保障与就业178.76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卫生健康340.29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节能环保103.2</w:t>
      </w:r>
      <w:r>
        <w:rPr>
          <w:rFonts w:hint="eastAsia" w:ascii="方正仿宋_GBK" w:hAnsi="方正仿宋_GBK" w:eastAsia="方正仿宋_GBK" w:cs="方正仿宋_GBK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,城乡社区10万元，农林水1260.13万元，住房保障115.78万元，灾害防治及应急管理4.44万元。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2822.5</w:t>
      </w:r>
      <w:r>
        <w:rPr>
          <w:rFonts w:hint="eastAsia" w:ascii="方正仿宋_GBK" w:hAnsi="方正仿宋_GBK" w:eastAsia="方正仿宋_GBK" w:cs="方正仿宋_GBK"/>
          <w:szCs w:val="32"/>
        </w:rPr>
        <w:t>万元。其中，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一般公共服务支出1105.34万元 ，科学技术支出31.2万元，文化旅游体育与传媒支出38.53万元，社会保障和就业支出158.87万元，卫生健康支出318.14万元，节能环保支出77.76万元，农林水支出972.43万元，住房保障支出115.78万元，灾害防治及应急管理支出4.44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我单位2020年年初财政拨款结转和结余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356</w:t>
      </w:r>
      <w:r>
        <w:rPr>
          <w:rFonts w:hint="eastAsia" w:ascii="方正仿宋_GBK" w:hAnsi="方正仿宋_GBK" w:eastAsia="方正仿宋_GBK" w:cs="方正仿宋_GBK"/>
          <w:szCs w:val="32"/>
        </w:rPr>
        <w:t>万元，本年财政拨款收入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3412.26</w:t>
      </w:r>
      <w:r>
        <w:rPr>
          <w:rFonts w:hint="eastAsia" w:ascii="方正仿宋_GBK" w:hAnsi="方正仿宋_GBK" w:eastAsia="方正仿宋_GBK" w:cs="方正仿宋_GBK"/>
          <w:szCs w:val="32"/>
        </w:rPr>
        <w:t>万元。其中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一般公共服务1282.46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科学技术31.2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文化旅游体育与传媒86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社会保障与就业178.76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卫生健康340.29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节能环保103.2</w:t>
      </w:r>
      <w:r>
        <w:rPr>
          <w:rFonts w:hint="eastAsia" w:ascii="方正仿宋_GBK" w:hAnsi="方正仿宋_GBK" w:eastAsia="方正仿宋_GBK" w:cs="方正仿宋_GBK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,城乡社区10万元，农林水1260.13万元，住房保障115.78万元，灾害防治及应急管理4.44万元，</w:t>
      </w:r>
      <w:r>
        <w:rPr>
          <w:rFonts w:hint="eastAsia" w:ascii="方正仿宋_GBK" w:hAnsi="方正仿宋_GBK" w:eastAsia="方正仿宋_GBK" w:cs="方正仿宋_GBK"/>
          <w:szCs w:val="32"/>
        </w:rPr>
        <w:t>政府性基金预算财政拨款收入0万元，国有资本经营财政拨款收入0万元。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本年年末结转结余资金945.76，本年财政拨款支出合计2822.5</w:t>
      </w:r>
      <w:r>
        <w:rPr>
          <w:rFonts w:hint="eastAsia" w:ascii="方正仿宋_GBK" w:hAnsi="方正仿宋_GBK" w:eastAsia="方正仿宋_GBK" w:cs="方正仿宋_GBK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我单位2020年一般公共预算财政拨款“三公”经费支出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6.62</w:t>
      </w:r>
      <w:r>
        <w:rPr>
          <w:rFonts w:hint="eastAsia" w:ascii="方正仿宋_GBK" w:hAnsi="方正仿宋_GBK" w:eastAsia="方正仿宋_GBK" w:cs="方正仿宋_GBK"/>
          <w:szCs w:val="32"/>
        </w:rPr>
        <w:t>万元 。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其中，公务用车运行费5.8万元，因公出国（境）费0万元，公务用车购置费0万元，公务接待费0.8万元。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六、2020年度机关运行情况说明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我单位2020年人员经费支出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1497.47</w:t>
      </w:r>
      <w:r>
        <w:rPr>
          <w:rFonts w:hint="eastAsia" w:ascii="方正仿宋_GBK" w:hAnsi="方正仿宋_GBK" w:eastAsia="方正仿宋_GBK" w:cs="方正仿宋_GBK"/>
          <w:szCs w:val="32"/>
        </w:rPr>
        <w:t>万元。其中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基本工资208.93万元，津贴补贴672.41万元，奖金76.46万元， 机关事业单位基本养老保险缴费147.93万元，职工基本医疗保险缴费58.11万元，公务员医疗补助缴费9.9万元，  其他社会保障缴费8.51万元，  住房公积金115.78万元，  其他工资福利支出199.45万元。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我单位2020年公用经费支出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132.35</w:t>
      </w:r>
      <w:r>
        <w:rPr>
          <w:rFonts w:hint="eastAsia" w:ascii="方正仿宋_GBK" w:hAnsi="方正仿宋_GBK" w:eastAsia="方正仿宋_GBK" w:cs="方正仿宋_GBK"/>
          <w:szCs w:val="32"/>
        </w:rPr>
        <w:t>万元。其中，商品和服务支出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132.35</w:t>
      </w:r>
      <w:r>
        <w:rPr>
          <w:rFonts w:hint="eastAsia" w:ascii="方正仿宋_GBK" w:hAnsi="方正仿宋_GBK" w:eastAsia="方正仿宋_GBK" w:cs="方正仿宋_GBK"/>
          <w:szCs w:val="32"/>
        </w:rPr>
        <w:t>万元，债务利息及费用支出0万元，资本性支出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Cs w:val="32"/>
        </w:rPr>
        <w:t>万元，其他支出0万元。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无政府采购项目。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szCs w:val="32"/>
        </w:rPr>
        <w:t>公用车辆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统一归后勤办管理。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九、扶贫资金情况说明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我单位2020年无扶贫资金。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十、债务情况说明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我单位2020年无政府债务。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十一、重点、重大项目信息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我单位2020年无重点、重大项目。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  <w:bookmarkStart w:id="0" w:name="_GoBack"/>
      <w:bookmarkEnd w:id="0"/>
    </w:p>
    <w:p>
      <w:pPr>
        <w:spacing w:line="576" w:lineRule="exact"/>
        <w:jc w:val="center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第四部分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Cs w:val="32"/>
        </w:rPr>
        <w:t>名词解释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一、一般公共预算拨款收入：指财政部门当年拨付的资金。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二、基本支出：是指为保障机构正常运转，完成日常工作任务而发生的人员支出和共用支出。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三、“三公经费”：纳入财政预决算管理的“三公”经费，是指部门用财政拨款安排的因公出国（境）费、公务用车购置及运行费和公务接待费。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四、机关运行经费：是指各部门的公用经费，包括办公及印刷费、邮电费、差旅费、会议费、福利费、日常维修费、水电费、工会经费、公务接待费、公务用车运行费及其他费用。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D66F75"/>
    <w:rsid w:val="0CFB0E04"/>
    <w:rsid w:val="17481711"/>
    <w:rsid w:val="1D606D4C"/>
    <w:rsid w:val="20DE3A7A"/>
    <w:rsid w:val="232D4C74"/>
    <w:rsid w:val="329574F3"/>
    <w:rsid w:val="357A3FD8"/>
    <w:rsid w:val="37840938"/>
    <w:rsid w:val="398E6FFF"/>
    <w:rsid w:val="3D1800AE"/>
    <w:rsid w:val="3DF902FD"/>
    <w:rsid w:val="43BD3D2A"/>
    <w:rsid w:val="456305D7"/>
    <w:rsid w:val="46453AE0"/>
    <w:rsid w:val="48345216"/>
    <w:rsid w:val="4EAC3D58"/>
    <w:rsid w:val="534C06AD"/>
    <w:rsid w:val="5CF36FF6"/>
    <w:rsid w:val="5E0A26F5"/>
    <w:rsid w:val="67E0314A"/>
    <w:rsid w:val="6CA35DD0"/>
    <w:rsid w:val="6E9309F8"/>
    <w:rsid w:val="70AC28EB"/>
    <w:rsid w:val="73A064DE"/>
    <w:rsid w:val="744501A4"/>
    <w:rsid w:val="7785738C"/>
    <w:rsid w:val="79912566"/>
    <w:rsid w:val="7CE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715</Words>
  <Characters>4082</Characters>
  <Lines>34</Lines>
  <Paragraphs>9</Paragraphs>
  <TotalTime>6</TotalTime>
  <ScaleCrop>false</ScaleCrop>
  <LinksUpToDate>false</LinksUpToDate>
  <CharactersWithSpaces>4788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bq</cp:lastModifiedBy>
  <dcterms:modified xsi:type="dcterms:W3CDTF">2021-12-23T14:52:18Z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C76589DE4A5F45C19B36F5DAF6FE1B82</vt:lpwstr>
  </property>
</Properties>
</file>