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文化和旅游局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巴青县财政局纳入本部门预算汇编范围的独立核算单位共1个。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pStyle w:val="6"/>
        <w:widowControl/>
        <w:spacing w:before="0" w:beforeAutospacing="0" w:after="0" w:afterAutospacing="0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文化和旅游局主要职责：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贯彻落实党和国家关于文化、旅游、文物工作的方针政策和法律法规，研究拟订全县文化旅游文物政策措施，起草相关地方性法规和政府规章草案；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统筹规划全县文化事业、文化产业、文物事业和旅游业发，拟订发展规划并组织实施，推进文化、旅游和相关产业融合发展，推进文化和旅游体制机制改革；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、管理全县重大文化活动。指导、督促、实施全县文化旅游设施建设工作，促进文化和旅游产业对外交流合作及市场推广，组织全县旅游整体形象和重点品牌推广。制定全县旅游市场开发规划并组织实施，指导、推进全域全时旅游、乡村旅游、假日旅游、红色旅游及特种旅游工作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指导、管理全县群众文化、专业文化、旅游开发、艺术生产工作。扶持体现社会主义核心价值观、具有导向性代表性示范性的艺术创作生产工作，推动各门类艺术、各艺术品种康有序发展；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负责全县公共文化事业发展，推进公共文化服务体系建设，深入实施文化惠民工程，推进基本公共文化服务标准化、均等化；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六是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指导、推进全县文化和旅游科技创新发展，推进文化和旅游行业信息化、标准化建设。负责文化和旅游行业信息收集与发布工作。负责全县旅游统计和经济运行分析工作；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七是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负责全县非物质文化遗产的保护工作，推动非物质文化遗产的保护、传承、普及、弘扬和振兴；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八是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统筹协调全县文化产业和旅游产业建设，组织实施文化和旅游资源普查、挖掘、保护和利用工作，促进文化产业和旅游产业高质量发展；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九是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文化、旅游行业的综合协调和宏观调控。负责全县文化创意产业、智慧旅游、探险旅游、文化旅游纪念品的开发、建设工作。负责全县旅游统计和经济运行分析工作。统筹做好全县重点旅游区城、旅游目的地和旅游线路的开发。承担旅游发展工作的研究和论证工作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十是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负责指导、协调全县文物(包括附属文物)的管理、保护、抢救、研究及考古发据等工作。组织申报公布全国、全区、全县重点文物保护单位、世界文化遗产工作；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十一是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全县文化、旅游、文物行政执法督察，监督管理服务质量，维护消费者和经营者合法权益，规范文化旅游市场秩序，依法受理、查处全县性、跨区域性文化、旅游、文物的违规违法行为，督查督办重大案件，维护正常的文化市场、旅游市场、文物安全秩序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十二是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编制、申报、实施全县文化、旅游、文物项目规划和招商引资项目目录，促进和引导全县文化旅游业利用社会融资建设。负责拟订全县公共文化服务体系、文化遗产、人才队伍建设、文化设备购置、旅游发展专项资金的安排建议，组织实施事前事中事后的监督管理等。</w:t>
      </w:r>
    </w:p>
    <w:p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  <w:t>（二）机构设置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县文化和旅游局机关行政编制3名，领导职数3名（正科级1名，副科级2名）。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在职人数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4个，其中局长1名，副局长2名，三级主任科员1名；下设办公室、文物、非遗、群众文化、文旅产业等职能科室；以及县级综合文化活动中心和县民间艺术团2个事业单位。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县文化和旅游局所属事业单位的设置、职责和编制事项另行规定。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文化和旅游局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我单位2020年年初结转结余6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57.30万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691.20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万元，本年支出合计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285.24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1063.26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我单位2020年收入合计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691.20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万元。其中，财政拨款收入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691.20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我单位2020年支出合计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285.24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万元。其中，基本支出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122.70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万元，项目支出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162.54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657.30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万元，本年财政拨款收入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671.20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671.20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万元，政府性基金预算财政拨款收入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1348.50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我单位2020年财政拨款支出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285.24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285.24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1063.26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1348.50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  <w:shd w:val="clear" w:color="auto" w:fill="auto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我单位2020年人员经费支出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117.73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万元。其中，工资福利支出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117.73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我单位2020年公用经费支出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4.97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  <w:lang w:val="en-US" w:eastAsia="zh-CN"/>
        </w:rPr>
        <w:t>4.97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shd w:val="clear" w:color="auto" w:fill="auto"/>
        </w:rPr>
        <w:t>万元，债务利息及费用</w:t>
      </w:r>
      <w:r>
        <w:rPr>
          <w:rFonts w:hint="eastAsia" w:ascii="方正仿宋_GBK" w:hAnsi="方正仿宋_GBK" w:eastAsia="方正仿宋_GBK" w:cs="方正仿宋_GBK"/>
          <w:szCs w:val="32"/>
        </w:rPr>
        <w:t>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有县民间艺术团公务用车大巴车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1辆，图书大巴车1辆，文化活动大巴车1辆。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  <w:bookmarkStart w:id="0" w:name="_GoBack"/>
      <w:bookmarkEnd w:id="0"/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C2023B8"/>
    <w:rsid w:val="0CD330D5"/>
    <w:rsid w:val="0CD66F75"/>
    <w:rsid w:val="0CFB0E04"/>
    <w:rsid w:val="1D606D4C"/>
    <w:rsid w:val="1FA66F4C"/>
    <w:rsid w:val="232D4C74"/>
    <w:rsid w:val="29A97F26"/>
    <w:rsid w:val="43BD3D2A"/>
    <w:rsid w:val="67E0314A"/>
    <w:rsid w:val="6E9309F8"/>
    <w:rsid w:val="70AC28EB"/>
    <w:rsid w:val="744501A4"/>
    <w:rsid w:val="79912566"/>
    <w:rsid w:val="7BD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38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2021-12-23T14:55:32Z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