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w:t>
      </w:r>
      <w:r>
        <w:rPr>
          <w:rFonts w:hint="eastAsia" w:ascii="方正小标宋简体" w:hAnsi="仿宋" w:eastAsia="方正小标宋简体"/>
          <w:sz w:val="44"/>
          <w:szCs w:val="44"/>
          <w:lang w:eastAsia="zh-CN"/>
        </w:rPr>
        <w:t>县委办2023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w:t>
      </w:r>
      <w:r>
        <w:rPr>
          <w:rFonts w:hint="eastAsia" w:ascii="方正小标宋简体" w:hAnsi="仿宋" w:eastAsia="方正小标宋简体"/>
          <w:sz w:val="32"/>
          <w:szCs w:val="32"/>
          <w:lang w:eastAsia="zh-CN"/>
        </w:rPr>
        <w:t>县委办2023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w:t>
      </w:r>
      <w:r>
        <w:rPr>
          <w:rFonts w:hint="eastAsia" w:ascii="方正小标宋简体" w:hAnsi="仿宋" w:eastAsia="方正小标宋简体"/>
          <w:sz w:val="32"/>
          <w:szCs w:val="32"/>
          <w:lang w:eastAsia="zh-CN"/>
        </w:rPr>
        <w:t>县委办2023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概况</w:t>
      </w:r>
    </w:p>
    <w:p>
      <w:pPr>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黑体" w:hAnsi="黑体" w:eastAsia="黑体"/>
          <w:sz w:val="32"/>
          <w:szCs w:val="32"/>
        </w:rPr>
      </w:pPr>
      <w:r>
        <w:rPr>
          <w:rFonts w:hint="eastAsia" w:ascii="黑体" w:hAnsi="黑体" w:eastAsia="黑体"/>
          <w:sz w:val="32"/>
          <w:szCs w:val="32"/>
        </w:rPr>
        <w:t>一、主要职能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spacing w:line="540" w:lineRule="exact"/>
        <w:ind w:firstLine="640"/>
        <w:rPr>
          <w:rFonts w:ascii="仿宋" w:hAnsi="仿宋" w:eastAsia="仿宋" w:cs="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cs="仿宋"/>
          <w:sz w:val="32"/>
          <w:szCs w:val="32"/>
        </w:rPr>
        <w:t>（一）负责起草或组织起草以县委或县委办公室名义向市委或市委办公室报送的综合性材料。负责起草或组织起草以县委或县委办公室名义印发的党内法规和规范性文件。负责县委和县委领导同志的文稿服务工作。保证县委日常工作正常运转。</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二）负责中央、自治区党委、市委及县委重大方针政策、重要工作部署、重要会议、文件精神贯彻落实情况的督促检查。负责县委、县政府领导同志重要指示、批示的督办，统筹协调人大代表建议、政协提案办复工作。</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（三）负责围绕县委重要决策和工作部署，开展调查研究，为县委决策部署提供依据和服务。负责县委及办公室文件、讲话稿、函件的翻译工作。</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（四）负责县委总值班工作，及时向县委领导同志报告重要情况，协助处理重要问题，承办县委文电、机要档案等工作。负责县委与市委有关部委、各县（区）委的协调联络工作。</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（五）负责县委常委会会议等各类重要会议的会务工作。负责协调安排县委领导的各类重要公务活动。</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 xml:space="preserve">（六）负责县委及办公室后勤、行政事务等服务保障工作。      </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七）负责组织贯彻落实密码工作方针政策和上级工作部署，研究提出解决全县密码工作重要问题的建议。负责全县密码的装备、使用和管理，组织查处全县密码失泄窃密等违法违规行为。负责全县信息化密码保障体系的规划、建设和管理，组织实施信息化密码保障工作。负责组织实施全县密码通信工作和密码通信网络、全县党委系统信息化工作。</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（八）负责县委文件和党政军机关及其要害部门核心秘密文电和物件的安全传递工作。</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（九）负责全县保密工作规划、宣传教育、监督管理和失窃泄密案件查处工作。负责涉密通信、计算机信息系统的技术防范和审批管理工作。</w:t>
      </w:r>
    </w:p>
    <w:p>
      <w:pPr>
        <w:spacing w:line="540" w:lineRule="exact"/>
        <w:ind w:firstLine="641"/>
        <w:rPr>
          <w:rFonts w:ascii="仿宋" w:hAnsi="仿宋" w:eastAsia="仿宋" w:cs="仿宋"/>
          <w:sz w:val="32"/>
          <w:szCs w:val="32"/>
        </w:rPr>
      </w:pPr>
      <w:r>
        <w:rPr>
          <w:rFonts w:hint="eastAsia" w:ascii="仿宋" w:hAnsi="仿宋" w:eastAsia="仿宋" w:cs="仿宋"/>
          <w:sz w:val="32"/>
          <w:szCs w:val="32"/>
        </w:rPr>
        <w:t>（十）负责全县档案工作的统筹规划、宏观管理，对全县档案工作进行监督检查和业务指导。负责县（中、区、市）直机关、群团机关、企事业单位档案的接收、整理、保管、利用工作。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（十一）贯彻落实党中央关于全面深化改革工作的方针政策和自治区党委、市委、县委的决策部署，贯彻落实县委对全面深化改革工作的统一领导，负责处理县委改革委的日常事务。</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（十二）统筹协调有关方面提出的全县中长期改革规划建议、改革方案和措施、年度工作要点。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（十三）协调、督促有关方面落实县委和县委改革委的决定事项、工作部署和要求。总结宣传改革工作经验。筹备组织县委改革委相关会议，组织起草有关重要文件和重要文稿。</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（十四）管理县档案馆。</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（十五）完成县委、县委改革委交办的其他任务。</w:t>
      </w:r>
    </w:p>
    <w:p>
      <w:pPr>
        <w:spacing w:line="540" w:lineRule="exact"/>
        <w:rPr>
          <w:rFonts w:ascii="黑体" w:hAnsi="黑体" w:eastAsia="黑体"/>
          <w:sz w:val="32"/>
          <w:szCs w:val="32"/>
        </w:rPr>
      </w:pPr>
      <w:r>
        <w:rPr>
          <w:rFonts w:hint="eastAsia" w:ascii="黑体" w:hAnsi="黑体" w:eastAsia="黑体"/>
          <w:sz w:val="32"/>
          <w:szCs w:val="32"/>
        </w:rPr>
        <w:t>二、部门预算单位构成</w:t>
      </w:r>
    </w:p>
    <w:p>
      <w:pPr>
        <w:spacing w:line="540" w:lineRule="exact"/>
        <w:ind w:firstLine="640"/>
        <w:rPr>
          <w:rFonts w:ascii="仿宋" w:hAnsi="仿宋" w:eastAsia="仿宋" w:cs="仿宋"/>
          <w:sz w:val="32"/>
          <w:szCs w:val="32"/>
        </w:rPr>
      </w:pPr>
      <w:r>
        <w:rPr>
          <w:rFonts w:hint="eastAsia" w:ascii="仿宋" w:hAnsi="仿宋" w:eastAsia="仿宋" w:cs="仿宋"/>
          <w:sz w:val="32"/>
          <w:szCs w:val="32"/>
        </w:rPr>
        <w:t>中共巴青县委员会办公室（以下简称县委办公室）是县委的综合部门，为正科级，负责推动县委决策部署的落实，按照县委要求协调有关方面开展工作，承担县委运行保障具体事宜，加挂县委保密委员会办公室、县国家保密局、县委机要局、县密码管理局、县档案局牌子。</w:t>
      </w:r>
    </w:p>
    <w:p>
      <w:pPr>
        <w:spacing w:line="540" w:lineRule="exact"/>
        <w:ind w:firstLine="640" w:firstLineChars="200"/>
        <w:rPr>
          <w:rFonts w:ascii="仿宋" w:hAnsi="仿宋" w:eastAsia="仿宋" w:cs="仿宋"/>
          <w:sz w:val="32"/>
        </w:rPr>
      </w:pPr>
      <w:r>
        <w:rPr>
          <w:rFonts w:hint="eastAsia" w:ascii="仿宋" w:hAnsi="仿宋" w:eastAsia="仿宋" w:cs="仿宋"/>
          <w:sz w:val="32"/>
        </w:rPr>
        <w:t>县委办公室行政编制5名，领导职数4名（正科级1名，副科级3名）。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eastAsia="zh-CN"/>
        </w:rPr>
        <w:t>县委办2023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eastAsia="zh-CN"/>
        </w:rPr>
        <w:t>县委办2023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872.81</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872.81</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660.56</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87.17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64.93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60.15</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872.81</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 占</w:t>
      </w:r>
      <w:r>
        <w:rPr>
          <w:rFonts w:hint="eastAsia" w:ascii="仿宋" w:hAnsi="仿宋" w:eastAsia="仿宋"/>
          <w:sz w:val="32"/>
          <w:szCs w:val="32"/>
          <w:u w:val="single"/>
          <w:lang w:val="en-US" w:eastAsia="zh-CN"/>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872.81</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%；国有资本经营预算资金</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872.81</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814.81</w:t>
      </w:r>
      <w:r>
        <w:rPr>
          <w:rFonts w:hint="eastAsia" w:ascii="仿宋" w:hAnsi="仿宋" w:eastAsia="仿宋"/>
          <w:sz w:val="32"/>
          <w:szCs w:val="32"/>
        </w:rPr>
        <w:t>万元，占</w:t>
      </w:r>
      <w:r>
        <w:rPr>
          <w:rFonts w:hint="eastAsia" w:ascii="仿宋" w:hAnsi="仿宋" w:eastAsia="仿宋"/>
          <w:sz w:val="32"/>
          <w:szCs w:val="32"/>
          <w:u w:val="single"/>
          <w:lang w:val="en-US" w:eastAsia="zh-CN"/>
        </w:rPr>
        <w:t>93.3</w:t>
      </w:r>
      <w:r>
        <w:rPr>
          <w:rFonts w:hint="eastAsia" w:ascii="仿宋" w:hAnsi="仿宋" w:eastAsia="仿宋"/>
          <w:sz w:val="32"/>
          <w:szCs w:val="32"/>
        </w:rPr>
        <w:t>%；项目支出</w:t>
      </w:r>
      <w:r>
        <w:rPr>
          <w:rFonts w:hint="eastAsia" w:ascii="仿宋" w:hAnsi="仿宋" w:eastAsia="仿宋"/>
          <w:sz w:val="32"/>
          <w:szCs w:val="32"/>
          <w:u w:val="single"/>
          <w:lang w:val="en-US" w:eastAsia="zh-CN"/>
        </w:rPr>
        <w:t>58</w:t>
      </w:r>
      <w:r>
        <w:rPr>
          <w:rFonts w:hint="eastAsia" w:ascii="仿宋" w:hAnsi="仿宋" w:eastAsia="仿宋"/>
          <w:sz w:val="32"/>
          <w:szCs w:val="32"/>
        </w:rPr>
        <w:t>万元，占</w:t>
      </w:r>
      <w:r>
        <w:rPr>
          <w:rFonts w:hint="eastAsia" w:ascii="仿宋" w:hAnsi="仿宋" w:eastAsia="仿宋"/>
          <w:sz w:val="32"/>
          <w:szCs w:val="32"/>
          <w:u w:val="single"/>
          <w:lang w:val="en-US" w:eastAsia="zh-CN"/>
        </w:rPr>
        <w:t>6.7</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872.81</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872.81</w:t>
      </w:r>
      <w:r>
        <w:rPr>
          <w:rFonts w:hint="eastAsia" w:ascii="仿宋" w:hAnsi="仿宋" w:eastAsia="仿宋"/>
          <w:sz w:val="32"/>
          <w:szCs w:val="32"/>
        </w:rPr>
        <w:t>万元，包括：一般公共预算当年拨款收入</w:t>
      </w:r>
      <w:r>
        <w:rPr>
          <w:rFonts w:hint="eastAsia" w:ascii="仿宋" w:hAnsi="仿宋" w:eastAsia="仿宋"/>
          <w:sz w:val="32"/>
          <w:szCs w:val="32"/>
          <w:u w:val="single"/>
          <w:lang w:val="en-US" w:eastAsia="zh-CN"/>
        </w:rPr>
        <w:t>872.81</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万元、国有资本经营预算拨款</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660.56</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87.17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64.93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60.15</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方正仿宋_GBK"/>
          <w:color w:val="000000" w:themeColor="text1"/>
          <w:sz w:val="32"/>
          <w:szCs w:val="32"/>
          <w:lang w:eastAsia="zh-CN"/>
        </w:rPr>
      </w:pP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年一般公共预算当年拨款</w:t>
      </w:r>
      <w:r>
        <w:rPr>
          <w:rFonts w:hint="eastAsia" w:ascii="仿宋" w:hAnsi="仿宋" w:eastAsia="仿宋"/>
          <w:color w:val="000000" w:themeColor="text1"/>
          <w:sz w:val="32"/>
          <w:szCs w:val="32"/>
          <w:u w:val="single"/>
          <w:lang w:val="en-US" w:eastAsia="zh-CN"/>
        </w:rPr>
        <w:t>872.81</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 xml:space="preserve"> 年执行数减少</w:t>
      </w:r>
      <w:r>
        <w:rPr>
          <w:rFonts w:hint="eastAsia" w:ascii="仿宋" w:hAnsi="仿宋" w:eastAsia="仿宋"/>
          <w:color w:val="000000" w:themeColor="text1"/>
          <w:sz w:val="32"/>
          <w:szCs w:val="32"/>
          <w:u w:val="single"/>
          <w:lang w:val="en-US" w:eastAsia="zh-CN"/>
        </w:rPr>
        <w:t>0</w:t>
      </w:r>
      <w:r>
        <w:rPr>
          <w:rFonts w:hint="eastAsia" w:ascii="仿宋" w:hAnsi="仿宋" w:eastAsia="仿宋"/>
          <w:color w:val="000000" w:themeColor="text1"/>
          <w:sz w:val="32"/>
          <w:szCs w:val="32"/>
        </w:rPr>
        <w:t>万元，主要原因：2023年预算收支安排按照“量入为出、量力而行、尽力而为、精打细算、收支平衡”的总要求，</w:t>
      </w:r>
      <w:r>
        <w:rPr>
          <w:rFonts w:hint="eastAsia" w:ascii="仿宋" w:hAnsi="仿宋" w:eastAsia="仿宋"/>
          <w:color w:val="000000" w:themeColor="text1"/>
          <w:sz w:val="32"/>
          <w:szCs w:val="32"/>
          <w:lang w:eastAsia="zh-CN"/>
        </w:rPr>
        <w:t>坚持党政机关过紧日子，</w:t>
      </w:r>
      <w:r>
        <w:rPr>
          <w:rFonts w:hint="eastAsia" w:ascii="方正仿宋_GBK" w:hAnsi="方正仿宋_GBK" w:eastAsia="方正仿宋_GBK" w:cs="方正仿宋_GBK"/>
          <w:bCs/>
          <w:sz w:val="32"/>
          <w:szCs w:val="32"/>
        </w:rPr>
        <w:t>提升财政治理效能</w:t>
      </w:r>
      <w:r>
        <w:rPr>
          <w:rFonts w:hint="eastAsia" w:ascii="方正仿宋_GBK" w:hAnsi="方正仿宋_GBK" w:eastAsia="方正仿宋_GBK" w:cs="方正仿宋_GBK"/>
          <w:bCs/>
          <w:sz w:val="32"/>
          <w:szCs w:val="32"/>
          <w:lang w:eastAsia="zh-CN"/>
        </w:rPr>
        <w:t>，</w:t>
      </w:r>
      <w:r>
        <w:rPr>
          <w:rFonts w:hint="eastAsia" w:ascii="仿宋" w:hAnsi="仿宋" w:eastAsia="仿宋"/>
          <w:color w:val="000000" w:themeColor="text1"/>
          <w:sz w:val="32"/>
          <w:szCs w:val="32"/>
        </w:rPr>
        <w:t>确保2023年经济工作稳字当头、稳中求进</w:t>
      </w:r>
      <w:r>
        <w:rPr>
          <w:rFonts w:hint="eastAsia" w:ascii="仿宋" w:hAnsi="仿宋" w:eastAsia="仿宋"/>
          <w:color w:val="000000" w:themeColor="text1"/>
          <w:sz w:val="32"/>
          <w:szCs w:val="32"/>
          <w:lang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660.56</w:t>
      </w:r>
      <w:r>
        <w:rPr>
          <w:rFonts w:hint="eastAsia" w:ascii="仿宋" w:hAnsi="仿宋" w:eastAsia="仿宋"/>
          <w:sz w:val="32"/>
          <w:szCs w:val="32"/>
        </w:rPr>
        <w:t>万元，占</w:t>
      </w:r>
      <w:r>
        <w:rPr>
          <w:rFonts w:hint="eastAsia" w:ascii="仿宋" w:hAnsi="仿宋" w:eastAsia="仿宋"/>
          <w:sz w:val="32"/>
          <w:szCs w:val="32"/>
          <w:u w:val="single"/>
          <w:lang w:val="en-US" w:eastAsia="zh-CN"/>
        </w:rPr>
        <w:t>75.7</w:t>
      </w:r>
      <w:r>
        <w:rPr>
          <w:rFonts w:hint="eastAsia" w:ascii="仿宋" w:hAnsi="仿宋" w:eastAsia="仿宋"/>
          <w:sz w:val="32"/>
          <w:szCs w:val="32"/>
        </w:rPr>
        <w:t>%；社</w:t>
      </w:r>
      <w:r>
        <w:rPr>
          <w:rFonts w:hint="eastAsia" w:ascii="仿宋" w:hAnsi="仿宋" w:eastAsia="仿宋"/>
          <w:sz w:val="32"/>
          <w:szCs w:val="32"/>
          <w:lang w:val="en-US" w:eastAsia="zh-CN"/>
        </w:rPr>
        <w:t>会</w:t>
      </w:r>
      <w:r>
        <w:rPr>
          <w:rFonts w:hint="eastAsia" w:ascii="仿宋" w:hAnsi="仿宋" w:eastAsia="仿宋"/>
          <w:sz w:val="32"/>
          <w:szCs w:val="32"/>
        </w:rPr>
        <w:t>保障和就业支出</w:t>
      </w:r>
      <w:r>
        <w:rPr>
          <w:rFonts w:hint="eastAsia" w:ascii="仿宋" w:hAnsi="仿宋" w:eastAsia="仿宋"/>
          <w:sz w:val="32"/>
          <w:szCs w:val="32"/>
          <w:u w:val="single"/>
          <w:lang w:val="en-US" w:eastAsia="zh-CN"/>
        </w:rPr>
        <w:t>87.17</w:t>
      </w:r>
      <w:r>
        <w:rPr>
          <w:rFonts w:hint="eastAsia" w:ascii="仿宋" w:hAnsi="仿宋" w:eastAsia="仿宋"/>
          <w:sz w:val="32"/>
          <w:szCs w:val="32"/>
        </w:rPr>
        <w:t>万元，占</w:t>
      </w:r>
      <w:r>
        <w:rPr>
          <w:rFonts w:hint="eastAsia" w:ascii="仿宋" w:hAnsi="仿宋" w:eastAsia="仿宋"/>
          <w:sz w:val="32"/>
          <w:szCs w:val="32"/>
          <w:u w:val="single"/>
          <w:lang w:val="en-US" w:eastAsia="zh-CN"/>
        </w:rPr>
        <w:t>10</w:t>
      </w:r>
      <w:r>
        <w:rPr>
          <w:rFonts w:hint="eastAsia" w:ascii="仿宋" w:hAnsi="仿宋" w:eastAsia="仿宋"/>
          <w:sz w:val="32"/>
          <w:szCs w:val="32"/>
        </w:rPr>
        <w:t>%；卫生健康支出</w:t>
      </w:r>
      <w:r>
        <w:rPr>
          <w:rFonts w:hint="eastAsia" w:ascii="仿宋" w:hAnsi="仿宋" w:eastAsia="仿宋"/>
          <w:sz w:val="32"/>
          <w:szCs w:val="32"/>
          <w:u w:val="single"/>
          <w:lang w:val="en-US" w:eastAsia="zh-CN"/>
        </w:rPr>
        <w:t>64.93</w:t>
      </w:r>
      <w:r>
        <w:rPr>
          <w:rFonts w:hint="eastAsia" w:ascii="仿宋" w:hAnsi="仿宋" w:eastAsia="仿宋"/>
          <w:sz w:val="32"/>
          <w:szCs w:val="32"/>
        </w:rPr>
        <w:t>万元，占</w:t>
      </w:r>
      <w:r>
        <w:rPr>
          <w:rFonts w:hint="eastAsia" w:ascii="仿宋" w:hAnsi="仿宋" w:eastAsia="仿宋"/>
          <w:sz w:val="32"/>
          <w:szCs w:val="32"/>
          <w:u w:val="single"/>
          <w:lang w:val="en-US" w:eastAsia="zh-CN"/>
        </w:rPr>
        <w:t>7.4</w:t>
      </w:r>
      <w:r>
        <w:rPr>
          <w:rFonts w:hint="eastAsia" w:ascii="仿宋" w:hAnsi="仿宋" w:eastAsia="仿宋"/>
          <w:sz w:val="32"/>
          <w:szCs w:val="32"/>
        </w:rPr>
        <w:t>%；住房保障支出</w:t>
      </w:r>
      <w:r>
        <w:rPr>
          <w:rFonts w:hint="eastAsia" w:ascii="仿宋" w:hAnsi="仿宋" w:eastAsia="仿宋"/>
          <w:sz w:val="32"/>
          <w:szCs w:val="32"/>
          <w:u w:val="single"/>
          <w:lang w:val="en-US" w:eastAsia="zh-CN"/>
        </w:rPr>
        <w:t>60.15</w:t>
      </w:r>
      <w:r>
        <w:rPr>
          <w:rFonts w:hint="eastAsia" w:ascii="仿宋" w:hAnsi="仿宋" w:eastAsia="仿宋"/>
          <w:sz w:val="32"/>
          <w:szCs w:val="32"/>
        </w:rPr>
        <w:t>万元，占</w:t>
      </w:r>
      <w:r>
        <w:rPr>
          <w:rFonts w:hint="eastAsia" w:ascii="仿宋" w:hAnsi="仿宋" w:eastAsia="仿宋"/>
          <w:sz w:val="32"/>
          <w:szCs w:val="32"/>
          <w:u w:val="single"/>
          <w:lang w:val="en-US" w:eastAsia="zh-CN"/>
        </w:rPr>
        <w:t>6.9</w:t>
      </w:r>
      <w:r>
        <w:rPr>
          <w:rFonts w:hint="eastAsia" w:ascii="仿宋" w:hAnsi="仿宋" w:eastAsia="仿宋"/>
          <w:sz w:val="32"/>
          <w:szCs w:val="32"/>
        </w:rPr>
        <w:t>%；国有资本经营预算支出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%；债务付息支出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%；债务发行费用支出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一般公共服务支出（类）财政事务（款）行政运行（项）</w:t>
      </w: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年预算数为</w:t>
      </w:r>
      <w:r>
        <w:rPr>
          <w:rFonts w:hint="eastAsia" w:ascii="仿宋" w:hAnsi="仿宋" w:eastAsia="仿宋"/>
          <w:color w:val="000000" w:themeColor="text1"/>
          <w:sz w:val="32"/>
          <w:szCs w:val="32"/>
          <w:u w:val="single"/>
          <w:lang w:val="en-US" w:eastAsia="zh-CN"/>
        </w:rPr>
        <w:t>643.87</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年执行数</w:t>
      </w:r>
      <w:r>
        <w:rPr>
          <w:rFonts w:hint="eastAsia" w:ascii="仿宋" w:hAnsi="仿宋" w:eastAsia="仿宋"/>
          <w:color w:val="000000" w:themeColor="text1"/>
          <w:sz w:val="32"/>
          <w:szCs w:val="32"/>
          <w:lang w:val="en-US" w:eastAsia="zh-CN"/>
        </w:rPr>
        <w:t>增加</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u w:val="single"/>
          <w:lang w:val="en-US" w:eastAsia="zh-CN"/>
        </w:rPr>
        <w:t>226.88</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val="en-US" w:eastAsia="zh-CN"/>
        </w:rPr>
        <w:t>上升54</w:t>
      </w:r>
      <w:r>
        <w:rPr>
          <w:rFonts w:hint="eastAsia" w:ascii="仿宋" w:hAnsi="仿宋" w:eastAsia="仿宋"/>
          <w:color w:val="000000" w:themeColor="text1"/>
          <w:sz w:val="32"/>
          <w:szCs w:val="32"/>
        </w:rPr>
        <w:t>%。</w:t>
      </w:r>
    </w:p>
    <w:p>
      <w:pPr>
        <w:numPr>
          <w:numId w:val="0"/>
        </w:num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814.81</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741.32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88.48</w:t>
      </w:r>
      <w:r>
        <w:rPr>
          <w:rFonts w:hint="eastAsia" w:ascii="仿宋" w:hAnsi="仿宋" w:eastAsia="仿宋"/>
          <w:sz w:val="32"/>
          <w:szCs w:val="32"/>
        </w:rPr>
        <w:t>万元、津贴补贴</w:t>
      </w:r>
      <w:r>
        <w:rPr>
          <w:rFonts w:hint="eastAsia" w:ascii="仿宋" w:hAnsi="仿宋" w:eastAsia="仿宋"/>
          <w:sz w:val="32"/>
          <w:szCs w:val="32"/>
          <w:lang w:val="en-US" w:eastAsia="zh-CN"/>
        </w:rPr>
        <w:t>368.30</w:t>
      </w:r>
      <w:r>
        <w:rPr>
          <w:rFonts w:hint="eastAsia" w:ascii="仿宋" w:hAnsi="仿宋" w:eastAsia="仿宋"/>
          <w:sz w:val="32"/>
          <w:szCs w:val="32"/>
        </w:rPr>
        <w:t>万元、奖金</w:t>
      </w:r>
      <w:r>
        <w:rPr>
          <w:rFonts w:hint="eastAsia" w:ascii="仿宋" w:hAnsi="仿宋" w:eastAsia="仿宋"/>
          <w:sz w:val="32"/>
          <w:szCs w:val="32"/>
          <w:lang w:val="en-US" w:eastAsia="zh-CN"/>
        </w:rPr>
        <w:t>19.13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86.09</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49.98</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10.45</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1.08</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35.47</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60.15</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4.50万元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lang w:val="en-US" w:eastAsia="zh-CN"/>
        </w:rPr>
        <w:t>4.50万元</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73.49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17.92</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lang w:val="en-US" w:eastAsia="zh-CN"/>
        </w:rPr>
        <w:t>0.48</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0.24</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lang w:val="en-US" w:eastAsia="zh-CN"/>
        </w:rPr>
        <w:t>1.68</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1.20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2.16</w:t>
      </w:r>
      <w:r>
        <w:rPr>
          <w:rFonts w:hint="eastAsia" w:ascii="仿宋" w:hAnsi="仿宋" w:eastAsia="仿宋"/>
          <w:sz w:val="32"/>
          <w:szCs w:val="32"/>
        </w:rPr>
        <w:t>万元、</w:t>
      </w:r>
      <w:r>
        <w:rPr>
          <w:rFonts w:ascii="仿宋" w:hAnsi="仿宋" w:eastAsia="仿宋"/>
          <w:b w:val="0"/>
          <w:bCs w:val="0"/>
          <w:sz w:val="32"/>
          <w:szCs w:val="32"/>
        </w:rPr>
        <w:t>物</w:t>
      </w:r>
      <w:r>
        <w:rPr>
          <w:rFonts w:ascii="仿宋" w:hAnsi="仿宋" w:eastAsia="仿宋"/>
          <w:sz w:val="32"/>
          <w:szCs w:val="32"/>
        </w:rPr>
        <w:t>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7.92</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0.72</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lang w:val="en-US" w:eastAsia="zh-CN"/>
        </w:rPr>
        <w:t>20.00万元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0.24</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lang w:val="en-US" w:eastAsia="zh-CN"/>
        </w:rPr>
        <w:t>0.24</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9.00万元</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11.69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9</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9</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w:t>
      </w:r>
      <w:r>
        <w:rPr>
          <w:rFonts w:hint="eastAsia" w:ascii="仿宋" w:hAnsi="仿宋" w:eastAsia="仿宋"/>
          <w:sz w:val="32"/>
          <w:szCs w:val="32"/>
          <w:u w:val="single"/>
          <w:lang w:val="en-US" w:eastAsia="zh-CN"/>
        </w:rPr>
        <w:t>3</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w:t>
      </w:r>
      <w:r>
        <w:rPr>
          <w:rFonts w:hint="eastAsia" w:ascii="仿宋" w:hAnsi="仿宋" w:eastAsia="仿宋"/>
          <w:sz w:val="32"/>
          <w:szCs w:val="32"/>
          <w:lang w:eastAsia="zh-CN"/>
        </w:rPr>
        <w:t>县委办</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家行政单位以及国有自资产管理中心的机关运行经费财政拨款预算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val="en-US" w:eastAsia="zh-CN"/>
        </w:rPr>
        <w:t>单位预算人数增加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2</w:t>
      </w:r>
      <w:bookmarkStart w:id="0" w:name="_GoBack"/>
      <w:bookmarkEnd w:id="0"/>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辆，其中，级领导干部用车（含在职和离退休部级干部用车）辆、机要通信用车</w:t>
      </w:r>
      <w:r>
        <w:rPr>
          <w:rFonts w:hint="eastAsia" w:ascii="仿宋" w:hAnsi="仿宋" w:eastAsia="仿宋"/>
          <w:sz w:val="32"/>
          <w:szCs w:val="32"/>
          <w:lang w:val="en-US" w:eastAsia="zh-CN"/>
        </w:rPr>
        <w:t>1</w:t>
      </w:r>
      <w:r>
        <w:rPr>
          <w:rFonts w:hint="eastAsia" w:ascii="仿宋" w:hAnsi="仿宋" w:eastAsia="仿宋"/>
          <w:sz w:val="32"/>
          <w:szCs w:val="32"/>
        </w:rPr>
        <w:t>辆、应急保障用车辆、执法执勤用车辆、特种专业技术用车辆、其他用车</w:t>
      </w:r>
      <w:r>
        <w:rPr>
          <w:rFonts w:hint="eastAsia" w:ascii="仿宋" w:hAnsi="仿宋" w:eastAsia="仿宋"/>
          <w:sz w:val="32"/>
          <w:szCs w:val="32"/>
          <w:lang w:val="en-US" w:eastAsia="zh-CN"/>
        </w:rPr>
        <w:t>1</w:t>
      </w:r>
      <w:r>
        <w:rPr>
          <w:rFonts w:hint="eastAsia" w:ascii="仿宋" w:hAnsi="仿宋" w:eastAsia="仿宋"/>
          <w:sz w:val="32"/>
          <w:szCs w:val="32"/>
        </w:rPr>
        <w:t>辆，其他用车主要是</w:t>
      </w:r>
      <w:r>
        <w:rPr>
          <w:rFonts w:hint="eastAsia" w:ascii="仿宋" w:hAnsi="仿宋" w:eastAsia="仿宋"/>
          <w:sz w:val="32"/>
          <w:szCs w:val="32"/>
          <w:lang w:val="en-US" w:eastAsia="zh-CN"/>
        </w:rPr>
        <w:t>办报文件</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29</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872.81</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872.81</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2"/>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截止目前,我单位暂无政府债务。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17</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713DB"/>
    <w:multiLevelType w:val="singleLevel"/>
    <w:tmpl w:val="052713DB"/>
    <w:lvl w:ilvl="0" w:tentative="0">
      <w:start w:val="5"/>
      <w:numFmt w:val="chineseCounting"/>
      <w:suff w:val="nothing"/>
      <w:lvlText w:val="（%1）"/>
      <w:lvlJc w:val="left"/>
      <w:rPr>
        <w:rFonts w:hint="eastAsia"/>
      </w:rPr>
    </w:lvl>
  </w:abstractNum>
  <w:abstractNum w:abstractNumId="1">
    <w:nsid w:val="36CDADE8"/>
    <w:multiLevelType w:val="singleLevel"/>
    <w:tmpl w:val="36CDADE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1721"/>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5F5D"/>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0BD9"/>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301F75"/>
    <w:rsid w:val="02F64A9C"/>
    <w:rsid w:val="035E7130"/>
    <w:rsid w:val="04AD02A2"/>
    <w:rsid w:val="054857FA"/>
    <w:rsid w:val="05AC6D27"/>
    <w:rsid w:val="05BC67F2"/>
    <w:rsid w:val="0A080353"/>
    <w:rsid w:val="0BA0282B"/>
    <w:rsid w:val="0E88676C"/>
    <w:rsid w:val="0EB6738F"/>
    <w:rsid w:val="0F1461F3"/>
    <w:rsid w:val="10A17DFD"/>
    <w:rsid w:val="136D5471"/>
    <w:rsid w:val="178415AC"/>
    <w:rsid w:val="18A70C2D"/>
    <w:rsid w:val="193A71D7"/>
    <w:rsid w:val="195C0EA3"/>
    <w:rsid w:val="199F51C5"/>
    <w:rsid w:val="19DF5B07"/>
    <w:rsid w:val="1E063E02"/>
    <w:rsid w:val="21AE506C"/>
    <w:rsid w:val="21EE0E98"/>
    <w:rsid w:val="221D2A77"/>
    <w:rsid w:val="22B61C9A"/>
    <w:rsid w:val="25EF4D55"/>
    <w:rsid w:val="2A4F4467"/>
    <w:rsid w:val="2C7666FB"/>
    <w:rsid w:val="2D366827"/>
    <w:rsid w:val="3093008E"/>
    <w:rsid w:val="32463624"/>
    <w:rsid w:val="344841B4"/>
    <w:rsid w:val="367B5ECF"/>
    <w:rsid w:val="36C97E9F"/>
    <w:rsid w:val="36CE54F3"/>
    <w:rsid w:val="378D4B73"/>
    <w:rsid w:val="386A67AC"/>
    <w:rsid w:val="38AF1A59"/>
    <w:rsid w:val="38B16DB2"/>
    <w:rsid w:val="3EDE39FE"/>
    <w:rsid w:val="41D715AA"/>
    <w:rsid w:val="4216261E"/>
    <w:rsid w:val="43165964"/>
    <w:rsid w:val="444C135E"/>
    <w:rsid w:val="45812DA6"/>
    <w:rsid w:val="474011B3"/>
    <w:rsid w:val="47A82E8D"/>
    <w:rsid w:val="48F1650E"/>
    <w:rsid w:val="4B511FDF"/>
    <w:rsid w:val="4BE94168"/>
    <w:rsid w:val="4CCE00EC"/>
    <w:rsid w:val="4E734F95"/>
    <w:rsid w:val="4EA73AFA"/>
    <w:rsid w:val="4F297845"/>
    <w:rsid w:val="4F8D15FE"/>
    <w:rsid w:val="4FEE3B03"/>
    <w:rsid w:val="513C0D12"/>
    <w:rsid w:val="514C7EA2"/>
    <w:rsid w:val="517058CE"/>
    <w:rsid w:val="51FE5488"/>
    <w:rsid w:val="54A36958"/>
    <w:rsid w:val="54EA2DD0"/>
    <w:rsid w:val="575852A0"/>
    <w:rsid w:val="5BDE4839"/>
    <w:rsid w:val="5C2E609A"/>
    <w:rsid w:val="5C5A5B7F"/>
    <w:rsid w:val="5DE35B50"/>
    <w:rsid w:val="5E2C54B5"/>
    <w:rsid w:val="5E427DC8"/>
    <w:rsid w:val="614A0D06"/>
    <w:rsid w:val="62FA1CAE"/>
    <w:rsid w:val="638643AB"/>
    <w:rsid w:val="66496C72"/>
    <w:rsid w:val="66702D88"/>
    <w:rsid w:val="676D3A27"/>
    <w:rsid w:val="67D87A33"/>
    <w:rsid w:val="68830BA1"/>
    <w:rsid w:val="6A6A1B02"/>
    <w:rsid w:val="6D070C16"/>
    <w:rsid w:val="6E100C69"/>
    <w:rsid w:val="6EFE7440"/>
    <w:rsid w:val="76E433B3"/>
    <w:rsid w:val="77E44AF8"/>
    <w:rsid w:val="78B8056A"/>
    <w:rsid w:val="793D2FCA"/>
    <w:rsid w:val="7A6B7371"/>
    <w:rsid w:val="7B615C78"/>
    <w:rsid w:val="7C077CD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rPr>
      <w:rFonts w:ascii="Calibri" w:hAnsi="Calibri" w:cs="黑体"/>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5CBE-D09D-4226-973F-22A3B77611B5}">
  <ds:schemaRefs/>
</ds:datastoreItem>
</file>

<file path=docProps/app.xml><?xml version="1.0" encoding="utf-8"?>
<Properties xmlns="http://schemas.openxmlformats.org/officeDocument/2006/extended-properties" xmlns:vt="http://schemas.openxmlformats.org/officeDocument/2006/docPropsVTypes">
  <Template>Normal</Template>
  <Pages>17</Pages>
  <Words>1060</Words>
  <Characters>6043</Characters>
  <Lines>50</Lines>
  <Paragraphs>14</Paragraphs>
  <TotalTime>10</TotalTime>
  <ScaleCrop>false</ScaleCrop>
  <LinksUpToDate>false</LinksUpToDate>
  <CharactersWithSpaces>7089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2023-03-13T11:57:56Z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1879AC4DA4C64560B61D220220C5CE92</vt:lpwstr>
  </property>
</Properties>
</file>